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E68" w:rsidRPr="00C92337" w:rsidRDefault="00B23E68" w:rsidP="00B23E68">
      <w:pPr>
        <w:jc w:val="lowKashida"/>
        <w:rPr>
          <w:b/>
          <w:bCs/>
          <w:sz w:val="32"/>
          <w:szCs w:val="32"/>
        </w:rPr>
      </w:pPr>
      <w:r w:rsidRPr="00C92337">
        <w:rPr>
          <w:b/>
          <w:bCs/>
          <w:sz w:val="32"/>
          <w:szCs w:val="32"/>
        </w:rPr>
        <w:t xml:space="preserve">A non-symptomatic Elevated Alkaline Phosphatase in a 3-year-old child; </w:t>
      </w:r>
      <w:r w:rsidR="00C92337">
        <w:rPr>
          <w:b/>
          <w:bCs/>
          <w:sz w:val="32"/>
          <w:szCs w:val="32"/>
        </w:rPr>
        <w:t xml:space="preserve">a </w:t>
      </w:r>
      <w:r w:rsidRPr="00C92337">
        <w:rPr>
          <w:b/>
          <w:bCs/>
          <w:sz w:val="32"/>
          <w:szCs w:val="32"/>
        </w:rPr>
        <w:t>rare Iranian report</w:t>
      </w:r>
    </w:p>
    <w:p w:rsidR="00DF23E7" w:rsidRPr="008008B5" w:rsidRDefault="00145F89" w:rsidP="005607EE">
      <w:pPr>
        <w:jc w:val="lowKashida"/>
        <w:rPr>
          <w:b/>
          <w:bCs/>
          <w:vertAlign w:val="superscript"/>
        </w:rPr>
      </w:pPr>
      <w:r>
        <w:rPr>
          <w:b/>
          <w:bCs/>
        </w:rPr>
        <w:t>Shiva Momen</w:t>
      </w:r>
      <w:r w:rsidR="005607EE">
        <w:rPr>
          <w:b/>
          <w:bCs/>
          <w:vertAlign w:val="superscript"/>
        </w:rPr>
        <w:t>1</w:t>
      </w:r>
      <w:r w:rsidR="00DF23E7">
        <w:rPr>
          <w:b/>
          <w:bCs/>
        </w:rPr>
        <w:t>, Seyyed-Mohsen Hosseininejad</w:t>
      </w:r>
      <w:r w:rsidR="005607EE">
        <w:rPr>
          <w:b/>
          <w:bCs/>
        </w:rPr>
        <w:t>*</w:t>
      </w:r>
      <w:r w:rsidR="005607EE">
        <w:rPr>
          <w:b/>
          <w:bCs/>
          <w:vertAlign w:val="superscript"/>
        </w:rPr>
        <w:t>2</w:t>
      </w:r>
      <w:r w:rsidR="00C92337">
        <w:rPr>
          <w:b/>
          <w:bCs/>
          <w:vertAlign w:val="superscript"/>
        </w:rPr>
        <w:t xml:space="preserve">, </w:t>
      </w:r>
      <w:r w:rsidR="005607EE">
        <w:rPr>
          <w:b/>
          <w:bCs/>
          <w:vertAlign w:val="superscript"/>
        </w:rPr>
        <w:t>3</w:t>
      </w:r>
      <w:r w:rsidR="00DF23E7">
        <w:rPr>
          <w:b/>
          <w:bCs/>
        </w:rPr>
        <w:t>, Hossein Zaeri</w:t>
      </w:r>
      <w:r w:rsidR="005607EE">
        <w:rPr>
          <w:b/>
          <w:bCs/>
          <w:vertAlign w:val="superscript"/>
        </w:rPr>
        <w:t>4</w:t>
      </w:r>
    </w:p>
    <w:p w:rsidR="005607EE" w:rsidRDefault="005607EE" w:rsidP="00B23E68">
      <w:pPr>
        <w:jc w:val="lowKashida"/>
        <w:rPr>
          <w:b/>
          <w:bCs/>
        </w:rPr>
      </w:pPr>
    </w:p>
    <w:p w:rsidR="00DF23E7" w:rsidRPr="005607EE" w:rsidRDefault="005607EE" w:rsidP="00B23E68">
      <w:pPr>
        <w:jc w:val="lowKashida"/>
        <w:rPr>
          <w:rFonts w:cstheme="minorHAnsi"/>
        </w:rPr>
      </w:pPr>
      <w:r>
        <w:rPr>
          <w:rFonts w:cstheme="minorHAnsi"/>
        </w:rPr>
        <w:t xml:space="preserve">1- </w:t>
      </w:r>
      <w:r w:rsidRPr="005607EE">
        <w:rPr>
          <w:rFonts w:cstheme="minorHAnsi"/>
        </w:rPr>
        <w:t>School of Pharmacy, Mazandaran University of Medical Sciences, Sari, Iran</w:t>
      </w:r>
    </w:p>
    <w:p w:rsidR="00DF23E7" w:rsidRPr="00C92337" w:rsidRDefault="005607EE" w:rsidP="004F3CF6">
      <w:pPr>
        <w:jc w:val="lowKashida"/>
        <w:rPr>
          <w:rFonts w:cstheme="minorHAnsi"/>
        </w:rPr>
      </w:pPr>
      <w:r>
        <w:rPr>
          <w:rFonts w:cstheme="minorHAnsi"/>
        </w:rPr>
        <w:t>2</w:t>
      </w:r>
      <w:r w:rsidR="008008B5" w:rsidRPr="00C92337">
        <w:rPr>
          <w:rFonts w:cstheme="minorHAnsi"/>
        </w:rPr>
        <w:t>-</w:t>
      </w:r>
      <w:r w:rsidR="001635AD">
        <w:rPr>
          <w:rFonts w:cstheme="minorHAnsi"/>
        </w:rPr>
        <w:t xml:space="preserve"> </w:t>
      </w:r>
      <w:r w:rsidR="00C92337" w:rsidRPr="00C92337">
        <w:rPr>
          <w:rFonts w:cstheme="minorHAnsi"/>
        </w:rPr>
        <w:t xml:space="preserve">Resident of </w:t>
      </w:r>
      <w:r w:rsidR="004651BD" w:rsidRPr="00C92337">
        <w:rPr>
          <w:rFonts w:cstheme="minorHAnsi"/>
        </w:rPr>
        <w:t>Orthopedics</w:t>
      </w:r>
      <w:r w:rsidR="00DF23E7" w:rsidRPr="00C92337">
        <w:rPr>
          <w:rFonts w:cstheme="minorHAnsi"/>
        </w:rPr>
        <w:t xml:space="preserve">, Bone, Joint and </w:t>
      </w:r>
      <w:r w:rsidR="004F3CF6">
        <w:rPr>
          <w:rFonts w:cstheme="minorHAnsi"/>
        </w:rPr>
        <w:t>Related Tissue Research Center</w:t>
      </w:r>
      <w:r w:rsidR="00DF23E7" w:rsidRPr="00C92337">
        <w:rPr>
          <w:rFonts w:cstheme="minorHAnsi"/>
        </w:rPr>
        <w:t>, Shahid Beheshti University of Medical Sciences, Tehran, Iran</w:t>
      </w:r>
    </w:p>
    <w:p w:rsidR="008008B5" w:rsidRDefault="005607EE" w:rsidP="008008B5">
      <w:pPr>
        <w:jc w:val="lowKashida"/>
        <w:rPr>
          <w:rFonts w:cstheme="minorHAnsi"/>
        </w:rPr>
      </w:pPr>
      <w:r>
        <w:rPr>
          <w:rFonts w:cstheme="minorHAnsi"/>
        </w:rPr>
        <w:t>3</w:t>
      </w:r>
      <w:r w:rsidR="008008B5">
        <w:rPr>
          <w:rFonts w:cstheme="minorHAnsi"/>
        </w:rPr>
        <w:t>-</w:t>
      </w:r>
      <w:r w:rsidR="001635AD">
        <w:rPr>
          <w:rFonts w:cstheme="minorHAnsi"/>
        </w:rPr>
        <w:t xml:space="preserve"> </w:t>
      </w:r>
      <w:r w:rsidR="008008B5" w:rsidRPr="007F1B7F">
        <w:rPr>
          <w:rFonts w:cstheme="minorHAnsi"/>
        </w:rPr>
        <w:t>Neonatal and Children’s Health Research Center, Golestan University of Medical Sciences, Gorgan, Iran</w:t>
      </w:r>
    </w:p>
    <w:p w:rsidR="008008B5" w:rsidRPr="008008B5" w:rsidRDefault="005607EE" w:rsidP="008008B5">
      <w:pPr>
        <w:jc w:val="lowKashida"/>
        <w:rPr>
          <w:rFonts w:cstheme="minorHAnsi"/>
        </w:rPr>
      </w:pPr>
      <w:r>
        <w:rPr>
          <w:rFonts w:cstheme="minorHAnsi"/>
        </w:rPr>
        <w:t>4</w:t>
      </w:r>
      <w:r w:rsidR="008008B5">
        <w:rPr>
          <w:rFonts w:cstheme="minorHAnsi"/>
        </w:rPr>
        <w:t>-</w:t>
      </w:r>
      <w:r w:rsidR="001635AD">
        <w:rPr>
          <w:rFonts w:cstheme="minorHAnsi"/>
        </w:rPr>
        <w:t xml:space="preserve"> </w:t>
      </w:r>
      <w:r w:rsidR="008008B5" w:rsidRPr="007F1B7F">
        <w:rPr>
          <w:rFonts w:cstheme="minorHAnsi"/>
        </w:rPr>
        <w:t xml:space="preserve">Assistant professor of pediatric </w:t>
      </w:r>
      <w:r w:rsidR="008008B5">
        <w:rPr>
          <w:rFonts w:cstheme="minorHAnsi"/>
        </w:rPr>
        <w:t>endocrinology</w:t>
      </w:r>
      <w:r w:rsidR="008008B5" w:rsidRPr="007F1B7F">
        <w:rPr>
          <w:rFonts w:cstheme="minorHAnsi"/>
        </w:rPr>
        <w:t>, Neonatal and Children’s Health Research Center, Golestan University of Medical Sciences, Gorgan, Iran</w:t>
      </w:r>
    </w:p>
    <w:p w:rsidR="00DF23E7" w:rsidRPr="00C92337" w:rsidRDefault="00DF23E7" w:rsidP="00B23E68">
      <w:pPr>
        <w:jc w:val="lowKashida"/>
        <w:rPr>
          <w:rFonts w:cstheme="minorHAnsi"/>
        </w:rPr>
      </w:pPr>
    </w:p>
    <w:p w:rsidR="00194714" w:rsidRPr="008008B5" w:rsidRDefault="00C92337" w:rsidP="004F3CF6">
      <w:pPr>
        <w:jc w:val="lowKashida"/>
        <w:rPr>
          <w:rFonts w:cstheme="minorHAnsi"/>
        </w:rPr>
      </w:pPr>
      <w:r>
        <w:rPr>
          <w:rFonts w:cstheme="minorHAnsi"/>
        </w:rPr>
        <w:t>*</w:t>
      </w:r>
      <w:r w:rsidR="004F3CF6">
        <w:rPr>
          <w:rFonts w:cstheme="minorHAnsi"/>
          <w:b/>
          <w:bCs/>
        </w:rPr>
        <w:t>Presenting author</w:t>
      </w:r>
      <w:r w:rsidR="00194714" w:rsidRPr="00C92337">
        <w:rPr>
          <w:rFonts w:cstheme="minorHAnsi"/>
        </w:rPr>
        <w:t xml:space="preserve">: </w:t>
      </w:r>
      <w:r w:rsidR="004F3CF6">
        <w:rPr>
          <w:b/>
          <w:bCs/>
        </w:rPr>
        <w:t>Seyyed-Mohsen Hosseininejad</w:t>
      </w:r>
      <w:r w:rsidR="00194714" w:rsidRPr="00C92337">
        <w:rPr>
          <w:rFonts w:cstheme="minorHAnsi"/>
        </w:rPr>
        <w:t xml:space="preserve">, MD., </w:t>
      </w:r>
      <w:r w:rsidR="004F3CF6">
        <w:rPr>
          <w:rFonts w:cstheme="minorHAnsi"/>
        </w:rPr>
        <w:t>Orthopedic Surgery Resident,</w:t>
      </w:r>
      <w:r w:rsidR="004F3CF6" w:rsidRPr="004F3CF6">
        <w:rPr>
          <w:rFonts w:cstheme="minorHAnsi"/>
        </w:rPr>
        <w:t xml:space="preserve"> </w:t>
      </w:r>
      <w:r w:rsidR="004F3CF6" w:rsidRPr="00C92337">
        <w:rPr>
          <w:rFonts w:cstheme="minorHAnsi"/>
        </w:rPr>
        <w:t>Bone, Joint and Related Tissue Research Center, Akhtar Hospital, Shahid Beheshti University of Medical Sciences, Tehran, Iran</w:t>
      </w:r>
      <w:r w:rsidR="004F3CF6">
        <w:rPr>
          <w:rFonts w:cstheme="minorHAnsi"/>
        </w:rPr>
        <w:t xml:space="preserve"> </w:t>
      </w:r>
      <w:r w:rsidR="00194714" w:rsidRPr="007F1B7F">
        <w:rPr>
          <w:rFonts w:cstheme="minorHAnsi"/>
        </w:rPr>
        <w:t xml:space="preserve">, </w:t>
      </w:r>
      <w:r w:rsidR="00194714">
        <w:rPr>
          <w:rFonts w:cstheme="minorHAnsi"/>
        </w:rPr>
        <w:t>Email: Hosseininejad.s.mohsen@gmail.com</w:t>
      </w:r>
    </w:p>
    <w:p w:rsidR="00194714" w:rsidRDefault="00194714" w:rsidP="00B23E68">
      <w:pPr>
        <w:jc w:val="lowKashida"/>
        <w:rPr>
          <w:b/>
          <w:bCs/>
        </w:rPr>
      </w:pPr>
    </w:p>
    <w:p w:rsidR="00DF23E7" w:rsidRDefault="00DF23E7" w:rsidP="00B23E68">
      <w:pPr>
        <w:jc w:val="lowKashida"/>
        <w:rPr>
          <w:b/>
          <w:bCs/>
        </w:rPr>
      </w:pPr>
    </w:p>
    <w:p w:rsidR="00A21EE7" w:rsidRPr="00B23E68" w:rsidRDefault="00A21EE7" w:rsidP="00B23E68">
      <w:pPr>
        <w:jc w:val="lowKashida"/>
      </w:pPr>
      <w:r w:rsidRPr="00B23E68">
        <w:rPr>
          <w:b/>
          <w:bCs/>
        </w:rPr>
        <w:t>Abstract</w:t>
      </w:r>
    </w:p>
    <w:p w:rsidR="00A11280" w:rsidRPr="00B23E68" w:rsidRDefault="00A21EE7" w:rsidP="00B23E68">
      <w:pPr>
        <w:jc w:val="lowKashida"/>
      </w:pPr>
      <w:r w:rsidRPr="00B23E68">
        <w:t xml:space="preserve">Transient Hyperphosphatasemia (TH) is a benign condition in which serum alkaline phosphatase (ALP) is transiently elevated in the absence of other systemic diseases. It mainly occurs in infants and children and </w:t>
      </w:r>
      <w:r w:rsidR="00A11280" w:rsidRPr="00B23E68">
        <w:t>infrequentlyhappened</w:t>
      </w:r>
      <w:r w:rsidRPr="00B23E68">
        <w:t xml:space="preserve"> in adults. The differential diagnosis may include liver, bone, kidney, intestinal, placental and blood diseases as well as </w:t>
      </w:r>
      <w:r w:rsidR="00A11280" w:rsidRPr="00B23E68">
        <w:t>accidental or non-accidental bone fracture</w:t>
      </w:r>
      <w:r w:rsidRPr="00B23E68">
        <w:t xml:space="preserve">. </w:t>
      </w:r>
    </w:p>
    <w:p w:rsidR="00BB615B" w:rsidRDefault="00BB615B" w:rsidP="00BB615B">
      <w:pPr>
        <w:jc w:val="lowKashida"/>
      </w:pPr>
      <w:r w:rsidRPr="00B23E68">
        <w:rPr>
          <w:b/>
          <w:bCs/>
        </w:rPr>
        <w:t>Case</w:t>
      </w:r>
      <w:r>
        <w:rPr>
          <w:b/>
          <w:bCs/>
        </w:rPr>
        <w:t xml:space="preserve"> </w:t>
      </w:r>
      <w:r w:rsidRPr="00B23E68">
        <w:rPr>
          <w:b/>
          <w:bCs/>
        </w:rPr>
        <w:t>presentation</w:t>
      </w:r>
      <w:r w:rsidRPr="00B23E68">
        <w:t>:</w:t>
      </w:r>
    </w:p>
    <w:p w:rsidR="00A21EE7" w:rsidRDefault="00A21EE7" w:rsidP="00B23E68">
      <w:pPr>
        <w:jc w:val="lowKashida"/>
      </w:pPr>
      <w:r w:rsidRPr="00B23E68">
        <w:t xml:space="preserve">In this report, we present </w:t>
      </w:r>
      <w:r w:rsidR="00A11280" w:rsidRPr="00B23E68">
        <w:t xml:space="preserve">a </w:t>
      </w:r>
      <w:r w:rsidR="00B23E68">
        <w:t>3</w:t>
      </w:r>
      <w:r w:rsidR="00A11280" w:rsidRPr="00B23E68">
        <w:t>-year-old boy with</w:t>
      </w:r>
      <w:r w:rsidRPr="00B23E68">
        <w:t xml:space="preserve"> TH and compare their clinical course with the natural history of TH </w:t>
      </w:r>
      <w:r w:rsidR="00A11280" w:rsidRPr="00B23E68">
        <w:t>mentioned</w:t>
      </w:r>
      <w:r w:rsidRPr="00B23E68">
        <w:t xml:space="preserve"> in literature. </w:t>
      </w:r>
    </w:p>
    <w:p w:rsidR="00BB615B" w:rsidRDefault="00BB615B" w:rsidP="00BB615B">
      <w:pPr>
        <w:jc w:val="lowKashida"/>
      </w:pPr>
      <w:r>
        <w:t>the 3</w:t>
      </w:r>
      <w:r w:rsidRPr="00B23E68">
        <w:t xml:space="preserve">-year-old male child was visiting in our pediatric clinic of Taleghani Hospital, Gorgan, Iran as routine height and weight follow-up. He was healthy with normal development. She fed on breastfeeding, regular diet and he was on no treatment. On examination, her anthropometric indices and growth were relevant to his age and thus normal with unremarkable systemic examination suggesting organic disease or child abuse. </w:t>
      </w:r>
      <w:r>
        <w:t>His</w:t>
      </w:r>
      <w:r w:rsidRPr="00B23E68">
        <w:t xml:space="preserve"> initial screening blood test</w:t>
      </w:r>
      <w:r>
        <w:t>s a</w:t>
      </w:r>
      <w:r w:rsidRPr="00B23E68">
        <w:t xml:space="preserve">t </w:t>
      </w:r>
      <w:r>
        <w:t>first</w:t>
      </w:r>
      <w:r w:rsidRPr="00B23E68">
        <w:t xml:space="preserve"> year of age, out of the blue,</w:t>
      </w:r>
      <w:r>
        <w:t xml:space="preserve"> </w:t>
      </w:r>
      <w:r w:rsidRPr="00B23E68">
        <w:t>he was found to have an elevated serum alkaline phosphates (ALP) level of 7298U/L, which had decreased to 2580/L a week after (child normal lab value 180-1200U/L). All her other investigation was detected normal (Table 1). When followed in clinic, the ALP level started to drop dramatically from 2580U/L to 636,354 U/L within a month. It remained within normal range while</w:t>
      </w:r>
      <w:r>
        <w:t xml:space="preserve"> </w:t>
      </w:r>
      <w:r w:rsidRPr="00B23E68">
        <w:t>his</w:t>
      </w:r>
      <w:r>
        <w:t xml:space="preserve"> </w:t>
      </w:r>
      <w:r w:rsidRPr="00B23E68">
        <w:t>twice a year visits until now (</w:t>
      </w:r>
      <w:r>
        <w:t>3</w:t>
      </w:r>
      <w:r w:rsidRPr="00B23E68">
        <w:t xml:space="preserve"> year-old); the patient’s family</w:t>
      </w:r>
      <w:r>
        <w:t xml:space="preserve"> </w:t>
      </w:r>
      <w:r w:rsidRPr="00B23E68">
        <w:t>looked healthy and reported no systemic complaint.</w:t>
      </w:r>
    </w:p>
    <w:p w:rsidR="00BB615B" w:rsidRPr="00BB615B" w:rsidRDefault="00BB615B" w:rsidP="00BB615B">
      <w:pPr>
        <w:jc w:val="lowKashida"/>
      </w:pPr>
      <w:r w:rsidRPr="00B23E68">
        <w:rPr>
          <w:rFonts w:eastAsia="Times New Roman" w:cs="Arial"/>
          <w:sz w:val="20"/>
          <w:szCs w:val="20"/>
        </w:rPr>
        <w:lastRenderedPageBreak/>
        <w:t>Table 1</w:t>
      </w:r>
      <w:r>
        <w:rPr>
          <w:rFonts w:eastAsia="Times New Roman" w:cs="Arial"/>
          <w:sz w:val="20"/>
          <w:szCs w:val="20"/>
        </w:rPr>
        <w:t xml:space="preserve">: </w:t>
      </w:r>
      <w:r w:rsidRPr="00B23E68">
        <w:rPr>
          <w:rFonts w:eastAsia="Times New Roman" w:cs="Times New Roman"/>
          <w:b/>
          <w:bCs/>
          <w:sz w:val="20"/>
          <w:szCs w:val="20"/>
        </w:rPr>
        <w:t>Assessment of our case at presentation and during follow-up</w:t>
      </w:r>
    </w:p>
    <w:tbl>
      <w:tblPr>
        <w:tblStyle w:val="PlainTable4"/>
        <w:tblW w:w="0" w:type="auto"/>
        <w:tblLook w:val="04A0"/>
      </w:tblPr>
      <w:tblGrid>
        <w:gridCol w:w="3414"/>
        <w:gridCol w:w="1488"/>
        <w:gridCol w:w="1364"/>
        <w:gridCol w:w="1442"/>
        <w:gridCol w:w="1255"/>
      </w:tblGrid>
      <w:tr w:rsidR="00BB615B" w:rsidRPr="00B23E68" w:rsidTr="00AE794F">
        <w:trPr>
          <w:cnfStyle w:val="100000000000"/>
        </w:trPr>
        <w:tc>
          <w:tcPr>
            <w:cnfStyle w:val="001000000000"/>
            <w:tcW w:w="0" w:type="auto"/>
            <w:hideMark/>
          </w:tcPr>
          <w:p w:rsidR="00BB615B" w:rsidRPr="00B23E68" w:rsidRDefault="00BB615B" w:rsidP="00AE794F">
            <w:pPr>
              <w:spacing w:before="100" w:beforeAutospacing="1" w:after="100" w:afterAutospacing="1" w:line="20" w:lineRule="atLeast"/>
              <w:jc w:val="lowKashida"/>
              <w:rPr>
                <w:rFonts w:eastAsia="Times New Roman" w:cs="Times New Roman"/>
                <w:b w:val="0"/>
                <w:bCs w:val="0"/>
                <w:sz w:val="20"/>
                <w:szCs w:val="20"/>
              </w:rPr>
            </w:pPr>
            <w:r w:rsidRPr="00B23E68">
              <w:rPr>
                <w:rFonts w:eastAsia="Times New Roman" w:cs="Times New Roman"/>
                <w:b w:val="0"/>
                <w:bCs w:val="0"/>
                <w:sz w:val="20"/>
                <w:szCs w:val="20"/>
              </w:rPr>
              <w:t>Investigations</w:t>
            </w:r>
          </w:p>
        </w:tc>
        <w:tc>
          <w:tcPr>
            <w:tcW w:w="0" w:type="auto"/>
            <w:hideMark/>
          </w:tcPr>
          <w:p w:rsidR="00BB615B" w:rsidRPr="00B23E68" w:rsidRDefault="00BB615B" w:rsidP="00AE794F">
            <w:pPr>
              <w:spacing w:before="100" w:beforeAutospacing="1" w:after="100" w:afterAutospacing="1" w:line="20" w:lineRule="atLeast"/>
              <w:jc w:val="lowKashida"/>
              <w:cnfStyle w:val="100000000000"/>
              <w:rPr>
                <w:rFonts w:eastAsia="Times New Roman" w:cs="Times New Roman"/>
                <w:b w:val="0"/>
                <w:bCs w:val="0"/>
                <w:sz w:val="20"/>
                <w:szCs w:val="20"/>
              </w:rPr>
            </w:pPr>
            <w:r w:rsidRPr="00B23E68">
              <w:rPr>
                <w:rFonts w:eastAsia="Times New Roman" w:cs="Times New Roman"/>
                <w:b w:val="0"/>
                <w:bCs w:val="0"/>
                <w:sz w:val="20"/>
                <w:szCs w:val="20"/>
              </w:rPr>
              <w:t>At presentation</w:t>
            </w:r>
          </w:p>
        </w:tc>
        <w:tc>
          <w:tcPr>
            <w:tcW w:w="0" w:type="auto"/>
            <w:hideMark/>
          </w:tcPr>
          <w:p w:rsidR="00BB615B" w:rsidRPr="00B23E68" w:rsidRDefault="00BB615B" w:rsidP="00AE794F">
            <w:pPr>
              <w:spacing w:before="100" w:beforeAutospacing="1" w:after="100" w:afterAutospacing="1" w:line="20" w:lineRule="atLeast"/>
              <w:jc w:val="lowKashida"/>
              <w:cnfStyle w:val="100000000000"/>
              <w:rPr>
                <w:rFonts w:eastAsia="Times New Roman" w:cs="Times New Roman"/>
                <w:b w:val="0"/>
                <w:bCs w:val="0"/>
                <w:sz w:val="20"/>
                <w:szCs w:val="20"/>
              </w:rPr>
            </w:pPr>
            <w:r w:rsidRPr="00B23E68">
              <w:rPr>
                <w:rFonts w:eastAsia="Times New Roman" w:cs="Times New Roman"/>
                <w:b w:val="0"/>
                <w:bCs w:val="0"/>
                <w:sz w:val="20"/>
                <w:szCs w:val="20"/>
              </w:rPr>
              <w:t>After 1 month</w:t>
            </w:r>
          </w:p>
        </w:tc>
        <w:tc>
          <w:tcPr>
            <w:tcW w:w="0" w:type="auto"/>
            <w:hideMark/>
          </w:tcPr>
          <w:p w:rsidR="00BB615B" w:rsidRPr="00B23E68" w:rsidRDefault="00BB615B" w:rsidP="00AE794F">
            <w:pPr>
              <w:spacing w:before="100" w:beforeAutospacing="1" w:after="100" w:afterAutospacing="1" w:line="20" w:lineRule="atLeast"/>
              <w:jc w:val="lowKashida"/>
              <w:cnfStyle w:val="100000000000"/>
              <w:rPr>
                <w:rFonts w:eastAsia="Times New Roman" w:cs="Times New Roman"/>
                <w:b w:val="0"/>
                <w:bCs w:val="0"/>
                <w:sz w:val="20"/>
                <w:szCs w:val="20"/>
              </w:rPr>
            </w:pPr>
            <w:r w:rsidRPr="00B23E68">
              <w:rPr>
                <w:rFonts w:eastAsia="Times New Roman" w:cs="Times New Roman"/>
                <w:b w:val="0"/>
                <w:bCs w:val="0"/>
                <w:sz w:val="20"/>
                <w:szCs w:val="20"/>
              </w:rPr>
              <w:t>After 3 months</w:t>
            </w:r>
          </w:p>
        </w:tc>
        <w:tc>
          <w:tcPr>
            <w:tcW w:w="0" w:type="auto"/>
            <w:hideMark/>
          </w:tcPr>
          <w:p w:rsidR="00BB615B" w:rsidRPr="00B23E68" w:rsidRDefault="00BB615B" w:rsidP="00AE794F">
            <w:pPr>
              <w:spacing w:before="100" w:beforeAutospacing="1" w:after="100" w:afterAutospacing="1" w:line="20" w:lineRule="atLeast"/>
              <w:jc w:val="lowKashida"/>
              <w:cnfStyle w:val="100000000000"/>
              <w:rPr>
                <w:rFonts w:eastAsia="Times New Roman" w:cs="Times New Roman"/>
                <w:b w:val="0"/>
                <w:bCs w:val="0"/>
                <w:sz w:val="20"/>
                <w:szCs w:val="20"/>
              </w:rPr>
            </w:pPr>
            <w:r w:rsidRPr="00B23E68">
              <w:rPr>
                <w:rFonts w:eastAsia="Times New Roman" w:cs="Times New Roman"/>
                <w:b w:val="0"/>
                <w:bCs w:val="0"/>
                <w:sz w:val="20"/>
                <w:szCs w:val="20"/>
              </w:rPr>
              <w:t>After 2 years</w:t>
            </w:r>
          </w:p>
        </w:tc>
      </w:tr>
      <w:tr w:rsidR="00BB615B" w:rsidRPr="00B23E68" w:rsidTr="00AE794F">
        <w:trPr>
          <w:cnfStyle w:val="000000100000"/>
        </w:trPr>
        <w:tc>
          <w:tcPr>
            <w:cnfStyle w:val="001000000000"/>
            <w:tcW w:w="0" w:type="auto"/>
            <w:hideMark/>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ALP (N=175-1200 u/l)</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7298</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2580</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636</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271</w:t>
            </w:r>
          </w:p>
        </w:tc>
      </w:tr>
      <w:tr w:rsidR="00BB615B" w:rsidRPr="00B23E68" w:rsidTr="00AE794F">
        <w:tc>
          <w:tcPr>
            <w:cnfStyle w:val="001000000000"/>
            <w:tcW w:w="0" w:type="auto"/>
            <w:hideMark/>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25(OH) VIT D (optimal=30-50 ng/ml)</w:t>
            </w:r>
          </w:p>
        </w:tc>
        <w:tc>
          <w:tcPr>
            <w:tcW w:w="0" w:type="auto"/>
            <w:hideMark/>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w:t>
            </w:r>
          </w:p>
        </w:tc>
        <w:tc>
          <w:tcPr>
            <w:tcW w:w="0" w:type="auto"/>
            <w:hideMark/>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37</w:t>
            </w:r>
          </w:p>
        </w:tc>
        <w:tc>
          <w:tcPr>
            <w:tcW w:w="0" w:type="auto"/>
            <w:hideMark/>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w:t>
            </w:r>
          </w:p>
        </w:tc>
        <w:tc>
          <w:tcPr>
            <w:tcW w:w="0" w:type="auto"/>
            <w:hideMark/>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w:t>
            </w:r>
          </w:p>
        </w:tc>
      </w:tr>
      <w:tr w:rsidR="00BB615B" w:rsidRPr="00B23E68" w:rsidTr="00AE794F">
        <w:trPr>
          <w:cnfStyle w:val="000000100000"/>
        </w:trPr>
        <w:tc>
          <w:tcPr>
            <w:cnfStyle w:val="001000000000"/>
            <w:tcW w:w="0" w:type="auto"/>
            <w:hideMark/>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PTH intact (N=14.5-87.1 pg/ml)</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2.69</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24.7</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w:t>
            </w:r>
          </w:p>
        </w:tc>
      </w:tr>
      <w:tr w:rsidR="00BB615B" w:rsidRPr="00B23E68" w:rsidTr="00AE794F">
        <w:tc>
          <w:tcPr>
            <w:cnfStyle w:val="001000000000"/>
            <w:tcW w:w="0" w:type="auto"/>
            <w:hideMark/>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 xml:space="preserve"> Ca (N=8.8-10.8 mg/dl)</w:t>
            </w:r>
          </w:p>
        </w:tc>
        <w:tc>
          <w:tcPr>
            <w:tcW w:w="0" w:type="auto"/>
            <w:hideMark/>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w:t>
            </w:r>
          </w:p>
        </w:tc>
        <w:tc>
          <w:tcPr>
            <w:tcW w:w="0" w:type="auto"/>
            <w:hideMark/>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10.8</w:t>
            </w:r>
          </w:p>
        </w:tc>
        <w:tc>
          <w:tcPr>
            <w:tcW w:w="0" w:type="auto"/>
            <w:hideMark/>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10.7</w:t>
            </w:r>
          </w:p>
        </w:tc>
        <w:tc>
          <w:tcPr>
            <w:tcW w:w="0" w:type="auto"/>
            <w:hideMark/>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10.7</w:t>
            </w:r>
          </w:p>
        </w:tc>
      </w:tr>
      <w:tr w:rsidR="00BB615B" w:rsidRPr="00B23E68" w:rsidTr="00AE794F">
        <w:trPr>
          <w:cnfStyle w:val="000000100000"/>
        </w:trPr>
        <w:tc>
          <w:tcPr>
            <w:cnfStyle w:val="001000000000"/>
            <w:tcW w:w="0" w:type="auto"/>
            <w:hideMark/>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Phosphorus (N=4-7 mg/dl)</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6.55</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6</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6.1</w:t>
            </w:r>
          </w:p>
        </w:tc>
      </w:tr>
      <w:tr w:rsidR="00BB615B" w:rsidRPr="00B23E68" w:rsidTr="00AE794F">
        <w:tc>
          <w:tcPr>
            <w:cnfStyle w:val="001000000000"/>
            <w:tcW w:w="0" w:type="auto"/>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AST (N=10-31)</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32</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10</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p>
        </w:tc>
      </w:tr>
      <w:tr w:rsidR="00BB615B" w:rsidRPr="00B23E68" w:rsidTr="00AE794F">
        <w:trPr>
          <w:cnfStyle w:val="000000100000"/>
        </w:trPr>
        <w:tc>
          <w:tcPr>
            <w:cnfStyle w:val="001000000000"/>
            <w:tcW w:w="0" w:type="auto"/>
            <w:hideMark/>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ALT (N=15-41 u/l)</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37</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13</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w:t>
            </w:r>
          </w:p>
        </w:tc>
      </w:tr>
      <w:tr w:rsidR="00BB615B" w:rsidRPr="00B23E68" w:rsidTr="00AE794F">
        <w:tc>
          <w:tcPr>
            <w:cnfStyle w:val="001000000000"/>
            <w:tcW w:w="0" w:type="auto"/>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WBC (N=8000-1200 )</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9200</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9000</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8500</w:t>
            </w:r>
          </w:p>
        </w:tc>
      </w:tr>
      <w:tr w:rsidR="00BB615B" w:rsidRPr="00B23E68" w:rsidTr="00AE794F">
        <w:trPr>
          <w:cnfStyle w:val="000000100000"/>
        </w:trPr>
        <w:tc>
          <w:tcPr>
            <w:cnfStyle w:val="001000000000"/>
            <w:tcW w:w="0" w:type="auto"/>
            <w:hideMark/>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Urea (N=1.8-6.4 mmol/l)</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4.2</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4.5</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4</w:t>
            </w:r>
          </w:p>
        </w:tc>
      </w:tr>
      <w:tr w:rsidR="00BB615B" w:rsidRPr="00B23E68" w:rsidTr="00AE794F">
        <w:tc>
          <w:tcPr>
            <w:cnfStyle w:val="001000000000"/>
            <w:tcW w:w="0" w:type="auto"/>
            <w:hideMark/>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Serum creatinine (N=27-62 umol/l)</w:t>
            </w:r>
          </w:p>
        </w:tc>
        <w:tc>
          <w:tcPr>
            <w:tcW w:w="0" w:type="auto"/>
            <w:hideMark/>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26</w:t>
            </w:r>
          </w:p>
        </w:tc>
        <w:tc>
          <w:tcPr>
            <w:tcW w:w="0" w:type="auto"/>
            <w:hideMark/>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w:t>
            </w:r>
          </w:p>
        </w:tc>
        <w:tc>
          <w:tcPr>
            <w:tcW w:w="0" w:type="auto"/>
            <w:hideMark/>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40</w:t>
            </w:r>
          </w:p>
        </w:tc>
        <w:tc>
          <w:tcPr>
            <w:tcW w:w="0" w:type="auto"/>
            <w:hideMark/>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38</w:t>
            </w:r>
          </w:p>
        </w:tc>
      </w:tr>
      <w:tr w:rsidR="00BB615B" w:rsidRPr="00B23E68" w:rsidTr="00AE794F">
        <w:trPr>
          <w:cnfStyle w:val="000000100000"/>
        </w:trPr>
        <w:tc>
          <w:tcPr>
            <w:cnfStyle w:val="001000000000"/>
            <w:tcW w:w="0" w:type="auto"/>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Gamma-glutamyl transferase (GGT)</w:t>
            </w:r>
          </w:p>
        </w:tc>
        <w:tc>
          <w:tcPr>
            <w:tcW w:w="0" w:type="auto"/>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10</w:t>
            </w:r>
          </w:p>
        </w:tc>
        <w:tc>
          <w:tcPr>
            <w:tcW w:w="0" w:type="auto"/>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w:t>
            </w:r>
          </w:p>
        </w:tc>
        <w:tc>
          <w:tcPr>
            <w:tcW w:w="0" w:type="auto"/>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w:t>
            </w:r>
          </w:p>
        </w:tc>
        <w:tc>
          <w:tcPr>
            <w:tcW w:w="0" w:type="auto"/>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11</w:t>
            </w:r>
          </w:p>
        </w:tc>
      </w:tr>
      <w:tr w:rsidR="00BB615B" w:rsidRPr="00B23E68" w:rsidTr="00AE794F">
        <w:tc>
          <w:tcPr>
            <w:cnfStyle w:val="001000000000"/>
            <w:tcW w:w="0" w:type="auto"/>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ESR 1hr (mm)</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10</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9</w:t>
            </w:r>
          </w:p>
        </w:tc>
      </w:tr>
      <w:tr w:rsidR="00BB615B" w:rsidRPr="00B23E68" w:rsidTr="00AE794F">
        <w:trPr>
          <w:cnfStyle w:val="000000100000"/>
        </w:trPr>
        <w:tc>
          <w:tcPr>
            <w:cnfStyle w:val="001000000000"/>
            <w:tcW w:w="0" w:type="auto"/>
            <w:hideMark/>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rFonts w:eastAsia="Times New Roman" w:cs="Times New Roman"/>
                <w:sz w:val="20"/>
                <w:szCs w:val="20"/>
              </w:rPr>
              <w:t>Radiology: Wrist X-ray, Growth plate</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Normal</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w:t>
            </w:r>
          </w:p>
        </w:tc>
        <w:tc>
          <w:tcPr>
            <w:tcW w:w="0" w:type="auto"/>
            <w:hideMark/>
          </w:tcPr>
          <w:p w:rsidR="00BB615B" w:rsidRPr="00B23E68" w:rsidRDefault="00BB615B" w:rsidP="00AE794F">
            <w:pPr>
              <w:spacing w:before="100" w:beforeAutospacing="1" w:after="100" w:afterAutospacing="1" w:line="20" w:lineRule="atLeast"/>
              <w:jc w:val="lowKashida"/>
              <w:cnfStyle w:val="000000100000"/>
              <w:rPr>
                <w:rFonts w:eastAsia="Times New Roman" w:cs="Times New Roman"/>
                <w:sz w:val="20"/>
                <w:szCs w:val="20"/>
              </w:rPr>
            </w:pPr>
            <w:r w:rsidRPr="00B23E68">
              <w:rPr>
                <w:rFonts w:eastAsia="Times New Roman" w:cs="Times New Roman"/>
                <w:sz w:val="20"/>
                <w:szCs w:val="20"/>
              </w:rPr>
              <w:t>Normal</w:t>
            </w:r>
          </w:p>
        </w:tc>
      </w:tr>
      <w:tr w:rsidR="00BB615B" w:rsidRPr="00B23E68" w:rsidTr="00AE794F">
        <w:tc>
          <w:tcPr>
            <w:cnfStyle w:val="001000000000"/>
            <w:tcW w:w="0" w:type="auto"/>
          </w:tcPr>
          <w:p w:rsidR="00BB615B" w:rsidRPr="00B23E68" w:rsidRDefault="00BB615B" w:rsidP="00AE794F">
            <w:pPr>
              <w:spacing w:before="100" w:beforeAutospacing="1" w:after="100" w:afterAutospacing="1" w:line="20" w:lineRule="atLeast"/>
              <w:jc w:val="lowKashida"/>
              <w:rPr>
                <w:rFonts w:eastAsia="Times New Roman" w:cs="Times New Roman"/>
                <w:sz w:val="20"/>
                <w:szCs w:val="20"/>
              </w:rPr>
            </w:pPr>
            <w:r w:rsidRPr="00B23E68">
              <w:rPr>
                <w:sz w:val="20"/>
                <w:szCs w:val="20"/>
              </w:rPr>
              <w:t>Ultrasonography: Abdomen and pelvic</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Normal</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w:t>
            </w:r>
          </w:p>
        </w:tc>
        <w:tc>
          <w:tcPr>
            <w:tcW w:w="0" w:type="auto"/>
          </w:tcPr>
          <w:p w:rsidR="00BB615B" w:rsidRPr="00B23E68" w:rsidRDefault="00BB615B" w:rsidP="00AE794F">
            <w:pPr>
              <w:spacing w:before="100" w:beforeAutospacing="1" w:after="100" w:afterAutospacing="1" w:line="20" w:lineRule="atLeast"/>
              <w:jc w:val="lowKashida"/>
              <w:cnfStyle w:val="000000000000"/>
              <w:rPr>
                <w:rFonts w:eastAsia="Times New Roman" w:cs="Times New Roman"/>
                <w:sz w:val="20"/>
                <w:szCs w:val="20"/>
              </w:rPr>
            </w:pPr>
            <w:r w:rsidRPr="00B23E68">
              <w:rPr>
                <w:rFonts w:eastAsia="Times New Roman" w:cs="Times New Roman"/>
                <w:sz w:val="20"/>
                <w:szCs w:val="20"/>
              </w:rPr>
              <w:t>-</w:t>
            </w:r>
          </w:p>
        </w:tc>
      </w:tr>
    </w:tbl>
    <w:p w:rsidR="00BB615B" w:rsidRPr="00B23E68" w:rsidRDefault="00BB615B" w:rsidP="00BB615B">
      <w:pPr>
        <w:jc w:val="lowKashida"/>
      </w:pPr>
      <w:r w:rsidRPr="00B23E68">
        <w:tab/>
      </w:r>
      <w:r w:rsidRPr="00B23E68">
        <w:tab/>
      </w:r>
      <w:r w:rsidRPr="00B23E68">
        <w:tab/>
      </w:r>
    </w:p>
    <w:p w:rsidR="007240B6" w:rsidRPr="00B23E68" w:rsidRDefault="007240B6" w:rsidP="00B23E68">
      <w:pPr>
        <w:jc w:val="lowKashida"/>
      </w:pPr>
    </w:p>
    <w:p w:rsidR="007240B6" w:rsidRPr="00B23E68" w:rsidRDefault="007240B6" w:rsidP="00B23E68">
      <w:pPr>
        <w:jc w:val="lowKashida"/>
      </w:pPr>
      <w:r w:rsidRPr="00B23E68">
        <w:rPr>
          <w:b/>
          <w:bCs/>
        </w:rPr>
        <w:t>Conclusion</w:t>
      </w:r>
    </w:p>
    <w:p w:rsidR="007240B6" w:rsidRPr="00B23E68" w:rsidRDefault="007240B6" w:rsidP="00B23E68">
      <w:pPr>
        <w:jc w:val="lowKashida"/>
      </w:pPr>
      <w:r w:rsidRPr="00B23E68">
        <w:t xml:space="preserve">Though no accurate estimation of its prevalence worldwide, transient Hyperphosphatasemia (TH) seems to be rarely encountered in our community, as elsewhere in the world. </w:t>
      </w:r>
      <w:r w:rsidR="006B1A13" w:rsidRPr="00B23E68">
        <w:t>Our report, which was the first case of Iranian TH,showed</w:t>
      </w:r>
      <w:r w:rsidRPr="00B23E68">
        <w:t xml:space="preserve"> a classic natural history</w:t>
      </w:r>
      <w:r w:rsidR="006B1A13" w:rsidRPr="00B23E68">
        <w:t xml:space="preserve"> of the disease with emphasis onawareness to such condition in practice</w:t>
      </w:r>
      <w:r w:rsidRPr="00B23E68">
        <w:t>.</w:t>
      </w:r>
    </w:p>
    <w:p w:rsidR="007240B6" w:rsidRPr="00B23E68" w:rsidRDefault="007240B6" w:rsidP="00B23E68">
      <w:pPr>
        <w:jc w:val="lowKashida"/>
      </w:pPr>
    </w:p>
    <w:p w:rsidR="00BB615B" w:rsidRPr="00B23E68" w:rsidRDefault="00BB615B" w:rsidP="00BB615B">
      <w:pPr>
        <w:jc w:val="lowKashida"/>
      </w:pPr>
      <w:r w:rsidRPr="00B23E68">
        <w:rPr>
          <w:b/>
          <w:bCs/>
        </w:rPr>
        <w:t>Keywords</w:t>
      </w:r>
      <w:r w:rsidRPr="00B23E68">
        <w:t>: Alkaline phosphatase, Hyperphosphatasemia, Transient,</w:t>
      </w:r>
      <w:bookmarkStart w:id="0" w:name="_GoBack"/>
      <w:bookmarkEnd w:id="0"/>
      <w:r>
        <w:t>idiopathic,</w:t>
      </w:r>
      <w:r w:rsidRPr="00B23E68">
        <w:t>Iran</w:t>
      </w:r>
    </w:p>
    <w:p w:rsidR="00A21EE7" w:rsidRPr="00B23E68" w:rsidRDefault="00A21EE7" w:rsidP="00B23E68">
      <w:pPr>
        <w:jc w:val="lowKashida"/>
      </w:pPr>
    </w:p>
    <w:p w:rsidR="00DF23E7" w:rsidRPr="00B23E68" w:rsidRDefault="00DF23E7" w:rsidP="00DF23E7">
      <w:pPr>
        <w:jc w:val="lowKashida"/>
      </w:pPr>
    </w:p>
    <w:sectPr w:rsidR="00DF23E7" w:rsidRPr="00B23E68" w:rsidSect="008D151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D1C" w:rsidRDefault="00664D1C" w:rsidP="00732DEC">
      <w:pPr>
        <w:spacing w:after="0" w:line="240" w:lineRule="auto"/>
      </w:pPr>
      <w:r>
        <w:separator/>
      </w:r>
    </w:p>
  </w:endnote>
  <w:endnote w:type="continuationSeparator" w:id="1">
    <w:p w:rsidR="00664D1C" w:rsidRDefault="00664D1C" w:rsidP="00732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D1C" w:rsidRDefault="00664D1C" w:rsidP="00732DEC">
      <w:pPr>
        <w:spacing w:after="0" w:line="240" w:lineRule="auto"/>
      </w:pPr>
      <w:r>
        <w:separator/>
      </w:r>
    </w:p>
  </w:footnote>
  <w:footnote w:type="continuationSeparator" w:id="1">
    <w:p w:rsidR="00664D1C" w:rsidRDefault="00664D1C" w:rsidP="00732D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D8" w:rsidRDefault="00732DEC" w:rsidP="00732DEC">
    <w:pPr>
      <w:pStyle w:val="Header"/>
    </w:pPr>
    <w:r>
      <w:t xml:space="preserve">This full article has been previously </w:t>
    </w:r>
    <w:r w:rsidRPr="00732DEC">
      <w:rPr>
        <w:u w:val="single"/>
      </w:rPr>
      <w:t>published</w:t>
    </w:r>
    <w:r>
      <w:t xml:space="preserve"> in EC CLINICAL AND MEDICAL CASE </w:t>
    </w:r>
    <w:r w:rsidR="001C05D8">
      <w:t xml:space="preserve">REPORTS; </w:t>
    </w:r>
  </w:p>
  <w:p w:rsidR="00732DEC" w:rsidRDefault="001C05D8" w:rsidP="00732DEC">
    <w:pPr>
      <w:pStyle w:val="Header"/>
    </w:pPr>
    <w:r>
      <w:t>Here is submitted for Oral presentation at the Conference</w:t>
    </w:r>
  </w:p>
  <w:p w:rsidR="00732DEC" w:rsidRDefault="00732DEC" w:rsidP="00732D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906AB"/>
    <w:multiLevelType w:val="hybridMultilevel"/>
    <w:tmpl w:val="EEACB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F5EFF"/>
    <w:rsid w:val="00145F89"/>
    <w:rsid w:val="001635AD"/>
    <w:rsid w:val="00194714"/>
    <w:rsid w:val="001C05D8"/>
    <w:rsid w:val="00370913"/>
    <w:rsid w:val="003B4550"/>
    <w:rsid w:val="003E7B31"/>
    <w:rsid w:val="004651BD"/>
    <w:rsid w:val="004E58D4"/>
    <w:rsid w:val="004F3CF6"/>
    <w:rsid w:val="004F7580"/>
    <w:rsid w:val="0053594D"/>
    <w:rsid w:val="005607EE"/>
    <w:rsid w:val="00664D1C"/>
    <w:rsid w:val="006B1A13"/>
    <w:rsid w:val="007240B6"/>
    <w:rsid w:val="00732DEC"/>
    <w:rsid w:val="007D1FDD"/>
    <w:rsid w:val="007F5EFF"/>
    <w:rsid w:val="008008B5"/>
    <w:rsid w:val="00851E88"/>
    <w:rsid w:val="008D151B"/>
    <w:rsid w:val="00926707"/>
    <w:rsid w:val="009D626E"/>
    <w:rsid w:val="00A11280"/>
    <w:rsid w:val="00A21EE7"/>
    <w:rsid w:val="00A9665D"/>
    <w:rsid w:val="00AC5297"/>
    <w:rsid w:val="00B23E68"/>
    <w:rsid w:val="00BB615B"/>
    <w:rsid w:val="00BD6623"/>
    <w:rsid w:val="00C06908"/>
    <w:rsid w:val="00C3106F"/>
    <w:rsid w:val="00C65C36"/>
    <w:rsid w:val="00C92337"/>
    <w:rsid w:val="00D54840"/>
    <w:rsid w:val="00DB092A"/>
    <w:rsid w:val="00DF23E7"/>
    <w:rsid w:val="00E421EC"/>
    <w:rsid w:val="00E63F8F"/>
    <w:rsid w:val="00F4681E"/>
    <w:rsid w:val="00FA26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51B"/>
  </w:style>
  <w:style w:type="paragraph" w:styleId="Heading3">
    <w:name w:val="heading 3"/>
    <w:basedOn w:val="Normal"/>
    <w:link w:val="Heading3Char"/>
    <w:uiPriority w:val="9"/>
    <w:qFormat/>
    <w:rsid w:val="007240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40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40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0913"/>
    <w:pPr>
      <w:ind w:left="720"/>
      <w:contextualSpacing/>
    </w:pPr>
  </w:style>
  <w:style w:type="table" w:customStyle="1" w:styleId="PlainTable4">
    <w:name w:val="Plain Table 4"/>
    <w:basedOn w:val="TableNormal"/>
    <w:uiPriority w:val="44"/>
    <w:rsid w:val="00B23E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semiHidden/>
    <w:unhideWhenUsed/>
    <w:rsid w:val="00732D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2DEC"/>
  </w:style>
  <w:style w:type="paragraph" w:styleId="Footer">
    <w:name w:val="footer"/>
    <w:basedOn w:val="Normal"/>
    <w:link w:val="FooterChar"/>
    <w:uiPriority w:val="99"/>
    <w:semiHidden/>
    <w:unhideWhenUsed/>
    <w:rsid w:val="00732D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2DEC"/>
  </w:style>
</w:styles>
</file>

<file path=word/webSettings.xml><?xml version="1.0" encoding="utf-8"?>
<w:webSettings xmlns:r="http://schemas.openxmlformats.org/officeDocument/2006/relationships" xmlns:w="http://schemas.openxmlformats.org/wordprocessingml/2006/main">
  <w:divs>
    <w:div w:id="3008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5five5</dc:creator>
  <cp:keywords/>
  <dc:description/>
  <cp:lastModifiedBy>adm</cp:lastModifiedBy>
  <cp:revision>26</cp:revision>
  <dcterms:created xsi:type="dcterms:W3CDTF">2018-09-19T08:09:00Z</dcterms:created>
  <dcterms:modified xsi:type="dcterms:W3CDTF">2020-04-22T04:03:00Z</dcterms:modified>
</cp:coreProperties>
</file>