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416" w:rsidRDefault="00BE2416" w:rsidP="00BE24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kern w:val="0"/>
          <w:sz w:val="32"/>
          <w:szCs w:val="32"/>
          <w:lang w:val="en-US"/>
        </w:rPr>
      </w:pPr>
      <w:r w:rsidRPr="00BE2416">
        <w:rPr>
          <w:rFonts w:asciiTheme="minorHAnsi" w:hAnsiTheme="minorHAnsi" w:cstheme="minorHAnsi"/>
          <w:color w:val="000000"/>
          <w:kern w:val="0"/>
          <w:sz w:val="32"/>
          <w:szCs w:val="32"/>
          <w:lang w:val="en-US"/>
        </w:rPr>
        <w:t>Long-term results of a randomized clinical trial of 2 types of</w:t>
      </w:r>
      <w:r w:rsidRPr="00BE2416">
        <w:rPr>
          <w:rFonts w:asciiTheme="minorHAnsi" w:hAnsiTheme="minorHAnsi" w:cstheme="minorHAnsi"/>
          <w:color w:val="000000"/>
          <w:kern w:val="0"/>
          <w:sz w:val="32"/>
          <w:szCs w:val="32"/>
          <w:lang w:val="en-US"/>
        </w:rPr>
        <w:t xml:space="preserve"> </w:t>
      </w:r>
      <w:r w:rsidRPr="00BE2416">
        <w:rPr>
          <w:rFonts w:asciiTheme="minorHAnsi" w:hAnsiTheme="minorHAnsi" w:cstheme="minorHAnsi"/>
          <w:color w:val="000000"/>
          <w:kern w:val="0"/>
          <w:sz w:val="32"/>
          <w:szCs w:val="32"/>
          <w:lang w:val="en-US"/>
        </w:rPr>
        <w:t>ceramic crowns in participants with extensive tooth wear</w:t>
      </w:r>
    </w:p>
    <w:p w:rsidR="00BE2416" w:rsidRPr="00BE2416" w:rsidRDefault="00BE2416" w:rsidP="00BE24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kern w:val="0"/>
          <w:sz w:val="32"/>
          <w:szCs w:val="32"/>
          <w:lang w:val="en-US"/>
        </w:rPr>
      </w:pPr>
      <w:bookmarkStart w:id="0" w:name="_GoBack"/>
      <w:bookmarkEnd w:id="0"/>
    </w:p>
    <w:p w:rsidR="00BE2416" w:rsidRPr="00BE2416" w:rsidRDefault="00BE2416" w:rsidP="00BE2416">
      <w:pPr>
        <w:autoSpaceDE w:val="0"/>
        <w:autoSpaceDN w:val="0"/>
        <w:adjustRightInd w:val="0"/>
        <w:rPr>
          <w:rFonts w:ascii="AdvOT46dcae81" w:hAnsi="AdvOT46dcae81" w:cs="AdvOT46dcae81"/>
          <w:color w:val="000000"/>
          <w:kern w:val="0"/>
          <w:sz w:val="22"/>
          <w:szCs w:val="22"/>
          <w:lang w:val="en-US"/>
        </w:rPr>
      </w:pPr>
      <w:r w:rsidRPr="00BE2416">
        <w:rPr>
          <w:rFonts w:ascii="AdvOT46dcae81" w:hAnsi="AdvOT46dcae81" w:cs="AdvOT46dcae81"/>
          <w:color w:val="000000"/>
          <w:kern w:val="0"/>
          <w:sz w:val="22"/>
          <w:szCs w:val="22"/>
          <w:lang w:val="en-US"/>
        </w:rPr>
        <w:t>Wedad Hammoudi, DDS, PhD,</w:t>
      </w:r>
      <w:r w:rsidRPr="00BE2416">
        <w:rPr>
          <w:rFonts w:ascii="AdvOT46dcae81" w:hAnsi="AdvOT46dcae81" w:cs="AdvOT46dcae81"/>
          <w:color w:val="2197D2"/>
          <w:kern w:val="0"/>
          <w:sz w:val="15"/>
          <w:szCs w:val="15"/>
          <w:lang w:val="en-US"/>
        </w:rPr>
        <w:t xml:space="preserve"> </w:t>
      </w:r>
      <w:r w:rsidRPr="00BE2416">
        <w:rPr>
          <w:rFonts w:ascii="AdvOT46dcae81" w:hAnsi="AdvOT46dcae81" w:cs="AdvOT46dcae81"/>
          <w:color w:val="000000"/>
          <w:kern w:val="0"/>
          <w:sz w:val="22"/>
          <w:szCs w:val="22"/>
          <w:lang w:val="en-US"/>
        </w:rPr>
        <w:t>Mats Trulsson, DDS, PhD,</w:t>
      </w:r>
      <w:r>
        <w:rPr>
          <w:rFonts w:ascii="AdvOT46dcae81" w:hAnsi="AdvOT46dcae81" w:cs="AdvOT46dcae81"/>
          <w:color w:val="2197D2"/>
          <w:kern w:val="0"/>
          <w:sz w:val="15"/>
          <w:szCs w:val="15"/>
          <w:lang w:val="en-US"/>
        </w:rPr>
        <w:t xml:space="preserve"> </w:t>
      </w:r>
      <w:r w:rsidRPr="00BE2416">
        <w:rPr>
          <w:rFonts w:ascii="AdvOT46dcae81" w:hAnsi="AdvOT46dcae81" w:cs="AdvOT46dcae81"/>
          <w:color w:val="000000"/>
          <w:kern w:val="0"/>
          <w:sz w:val="22"/>
          <w:szCs w:val="22"/>
          <w:lang w:val="en-US"/>
        </w:rPr>
        <w:t xml:space="preserve">Peter Svensson, DDS, PhD, Dr </w:t>
      </w:r>
      <w:proofErr w:type="spellStart"/>
      <w:r w:rsidRPr="00BE2416">
        <w:rPr>
          <w:rFonts w:ascii="AdvOT46dcae81" w:hAnsi="AdvOT46dcae81" w:cs="AdvOT46dcae81"/>
          <w:color w:val="000000"/>
          <w:kern w:val="0"/>
          <w:sz w:val="22"/>
          <w:szCs w:val="22"/>
          <w:lang w:val="en-US"/>
        </w:rPr>
        <w:t>Odont</w:t>
      </w:r>
      <w:proofErr w:type="spellEnd"/>
      <w:r w:rsidRPr="00BE2416">
        <w:rPr>
          <w:rFonts w:ascii="AdvOT46dcae81" w:hAnsi="AdvOT46dcae81" w:cs="AdvOT46dcae81"/>
          <w:color w:val="000000"/>
          <w:kern w:val="0"/>
          <w:sz w:val="22"/>
          <w:szCs w:val="22"/>
          <w:lang w:val="en-US"/>
        </w:rPr>
        <w:t>,</w:t>
      </w:r>
      <w:r>
        <w:rPr>
          <w:rFonts w:ascii="AdvOT46dcae81" w:hAnsi="AdvOT46dcae81" w:cs="AdvOT46dcae81"/>
          <w:color w:val="2197D2"/>
          <w:kern w:val="0"/>
          <w:sz w:val="15"/>
          <w:szCs w:val="15"/>
          <w:lang w:val="en-US"/>
        </w:rPr>
        <w:t xml:space="preserve"> </w:t>
      </w:r>
      <w:r w:rsidRPr="00BE2416">
        <w:rPr>
          <w:rFonts w:ascii="AdvOT46dcae81" w:hAnsi="AdvOT46dcae81" w:cs="AdvOT46dcae81"/>
          <w:color w:val="000000"/>
          <w:kern w:val="0"/>
          <w:sz w:val="22"/>
          <w:szCs w:val="22"/>
          <w:lang w:val="en-US"/>
        </w:rPr>
        <w:t>and</w:t>
      </w:r>
    </w:p>
    <w:p w:rsidR="00BE2416" w:rsidRPr="00BE2416" w:rsidRDefault="00BE2416" w:rsidP="00BE2416">
      <w:pPr>
        <w:autoSpaceDE w:val="0"/>
        <w:autoSpaceDN w:val="0"/>
        <w:adjustRightInd w:val="0"/>
        <w:jc w:val="both"/>
        <w:rPr>
          <w:rFonts w:ascii="AdvOT46dcae81" w:hAnsi="AdvOT46dcae81" w:cs="AdvOT46dcae81"/>
          <w:color w:val="2197D2"/>
          <w:kern w:val="0"/>
          <w:sz w:val="15"/>
          <w:szCs w:val="15"/>
          <w:lang w:val="en-US"/>
        </w:rPr>
      </w:pPr>
      <w:r w:rsidRPr="00BE2416">
        <w:rPr>
          <w:rFonts w:ascii="AdvOT46dcae81" w:hAnsi="AdvOT46dcae81" w:cs="AdvOT46dcae81"/>
          <w:color w:val="000000"/>
          <w:kern w:val="0"/>
          <w:sz w:val="22"/>
          <w:szCs w:val="22"/>
          <w:lang w:val="en-US"/>
        </w:rPr>
        <w:t>Jan-Ivan Smedberg, DDS, PhD</w:t>
      </w:r>
    </w:p>
    <w:p w:rsidR="00BE2416" w:rsidRDefault="00BE2416" w:rsidP="00BE24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0"/>
          <w:u w:val="single"/>
          <w:lang w:val="en-US"/>
        </w:rPr>
      </w:pPr>
    </w:p>
    <w:p w:rsidR="005819DD" w:rsidRPr="00BE2416" w:rsidRDefault="005819DD" w:rsidP="00BE24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0"/>
          <w:lang w:val="en-US"/>
        </w:rPr>
      </w:pPr>
      <w:r w:rsidRPr="00BE2416">
        <w:rPr>
          <w:rFonts w:asciiTheme="minorHAnsi" w:hAnsiTheme="minorHAnsi" w:cstheme="minorHAnsi"/>
          <w:kern w:val="0"/>
          <w:sz w:val="20"/>
          <w:u w:val="single"/>
          <w:lang w:val="en-US"/>
        </w:rPr>
        <w:t>Statement of problem</w:t>
      </w:r>
      <w:r w:rsidRPr="00BE2416">
        <w:rPr>
          <w:rFonts w:asciiTheme="minorHAnsi" w:hAnsiTheme="minorHAnsi" w:cstheme="minorHAnsi"/>
          <w:kern w:val="0"/>
          <w:sz w:val="20"/>
          <w:u w:val="single"/>
          <w:lang w:val="en-US"/>
        </w:rPr>
        <w:t>: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Evidence is sparse regarding the long-term outcomes of restorative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treatment of patients with extensive tooth wear.</w:t>
      </w:r>
    </w:p>
    <w:p w:rsidR="00BE2416" w:rsidRPr="00BE2416" w:rsidRDefault="00BE2416" w:rsidP="00BE24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0"/>
          <w:lang w:val="en-US"/>
        </w:rPr>
      </w:pPr>
    </w:p>
    <w:p w:rsidR="005819DD" w:rsidRPr="00BE2416" w:rsidRDefault="005819DD" w:rsidP="00BE24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0"/>
          <w:lang w:val="en-US"/>
        </w:rPr>
      </w:pPr>
      <w:r w:rsidRPr="00BE2416">
        <w:rPr>
          <w:rFonts w:asciiTheme="minorHAnsi" w:hAnsiTheme="minorHAnsi" w:cstheme="minorHAnsi"/>
          <w:kern w:val="0"/>
          <w:sz w:val="20"/>
          <w:u w:val="single"/>
          <w:lang w:val="en-US"/>
        </w:rPr>
        <w:t>Purpose</w:t>
      </w:r>
      <w:r w:rsidRPr="00BE2416">
        <w:rPr>
          <w:rFonts w:asciiTheme="minorHAnsi" w:hAnsiTheme="minorHAnsi" w:cstheme="minorHAnsi"/>
          <w:kern w:val="0"/>
          <w:sz w:val="20"/>
          <w:u w:val="single"/>
          <w:lang w:val="en-US"/>
        </w:rPr>
        <w:t>: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The purpose of this long-term prospective randomized clinical trial was to evaluate the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performance and success rate of pressed lithium disilicate (LD) and translucent zirconia (TZ)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crowns in participants with extensive tooth wear.</w:t>
      </w:r>
    </w:p>
    <w:p w:rsidR="00BE2416" w:rsidRPr="00BE2416" w:rsidRDefault="00BE2416" w:rsidP="00BE24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0"/>
          <w:lang w:val="en-US"/>
        </w:rPr>
      </w:pPr>
    </w:p>
    <w:p w:rsidR="005819DD" w:rsidRPr="00BE2416" w:rsidRDefault="005819DD" w:rsidP="00BE24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0"/>
          <w:lang w:val="en-US"/>
        </w:rPr>
      </w:pPr>
      <w:r w:rsidRPr="00BE2416">
        <w:rPr>
          <w:rFonts w:asciiTheme="minorHAnsi" w:hAnsiTheme="minorHAnsi" w:cstheme="minorHAnsi"/>
          <w:kern w:val="0"/>
          <w:sz w:val="20"/>
          <w:u w:val="single"/>
          <w:lang w:val="en-US"/>
        </w:rPr>
        <w:t>Material and methods</w:t>
      </w:r>
      <w:r w:rsidRPr="00BE2416">
        <w:rPr>
          <w:rFonts w:asciiTheme="minorHAnsi" w:hAnsiTheme="minorHAnsi" w:cstheme="minorHAnsi"/>
          <w:kern w:val="0"/>
          <w:sz w:val="20"/>
          <w:u w:val="single"/>
          <w:lang w:val="en-US"/>
        </w:rPr>
        <w:t>: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A total of 62 participants with extensive tooth wear (17 women, 45 men;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mean age 44.8 years; range 25-63 years) received a total of 713 crowns, LD=362 and TZ=351. Both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types of crowns had chamfer preparations and were adhesively </w:t>
      </w:r>
      <w:proofErr w:type="spellStart"/>
      <w:r w:rsidRPr="00BE2416">
        <w:rPr>
          <w:rFonts w:asciiTheme="minorHAnsi" w:hAnsiTheme="minorHAnsi" w:cstheme="minorHAnsi"/>
          <w:kern w:val="0"/>
          <w:sz w:val="20"/>
          <w:lang w:val="en-US"/>
        </w:rPr>
        <w:t>luted</w:t>
      </w:r>
      <w:proofErr w:type="spellEnd"/>
      <w:r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with dual-polymerizing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composite resin cement (PANAVIA F 2.0; Kuraray Noritake Dental Inc). The restorations were</w:t>
      </w:r>
      <w:r w:rsid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clinically reevaluated on average 14, 31, 39, 54, and 65 months after insertion of the crowns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according to the modified United States Public Health Service (USPHS) criteria.</w:t>
      </w:r>
    </w:p>
    <w:p w:rsidR="00BE2416" w:rsidRPr="00BE2416" w:rsidRDefault="00BE2416" w:rsidP="00BE24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0"/>
          <w:lang w:val="en-US"/>
        </w:rPr>
      </w:pPr>
    </w:p>
    <w:p w:rsidR="005819DD" w:rsidRPr="00BE2416" w:rsidRDefault="005819DD" w:rsidP="00BE24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0"/>
          <w:lang w:val="en-US"/>
        </w:rPr>
      </w:pPr>
      <w:r w:rsidRPr="00BE2416">
        <w:rPr>
          <w:rFonts w:asciiTheme="minorHAnsi" w:hAnsiTheme="minorHAnsi" w:cstheme="minorHAnsi"/>
          <w:kern w:val="0"/>
          <w:sz w:val="20"/>
          <w:u w:val="single"/>
          <w:lang w:val="en-US"/>
        </w:rPr>
        <w:t>Results</w:t>
      </w:r>
      <w:r w:rsidRPr="00BE2416">
        <w:rPr>
          <w:rFonts w:asciiTheme="minorHAnsi" w:hAnsiTheme="minorHAnsi" w:cstheme="minorHAnsi"/>
          <w:kern w:val="0"/>
          <w:sz w:val="20"/>
          <w:u w:val="single"/>
          <w:lang w:val="en-US"/>
        </w:rPr>
        <w:t>: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After an observation period of up to 6 years, the survival rate for both types of crowns was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99.7%, with 1 lost LD crown after 1 year as a result of loss of retention and 1 lost TZ crown after 3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years because of tooth fracture at the </w:t>
      </w:r>
      <w:proofErr w:type="spellStart"/>
      <w:r w:rsidRPr="00BE2416">
        <w:rPr>
          <w:rFonts w:asciiTheme="minorHAnsi" w:hAnsiTheme="minorHAnsi" w:cstheme="minorHAnsi"/>
          <w:kern w:val="0"/>
          <w:sz w:val="20"/>
          <w:lang w:val="en-US"/>
        </w:rPr>
        <w:t>cemento</w:t>
      </w:r>
      <w:proofErr w:type="spellEnd"/>
      <w:r w:rsidRPr="00BE2416">
        <w:rPr>
          <w:rFonts w:asciiTheme="minorHAnsi" w:hAnsiTheme="minorHAnsi" w:cstheme="minorHAnsi"/>
          <w:kern w:val="0"/>
          <w:sz w:val="20"/>
          <w:lang w:val="en-US"/>
        </w:rPr>
        <w:t>-enamel junction. The success rates were similar for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both types of crowns: 98.6% for LD and 99.1% for TZ. Reasons for failures were that 3 participants in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each group developed apical lesions, minimal ceramic fractures, or their crowns were 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rebounded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after loss of adhesion. Assessment of color at baseline was significantly different with a better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match for LD (84.8% Alfa, 15.2% Bravo) than for TZ crowns (36.5% Alfa, 63.5% Bravo), including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TZ crowns with veneered porcelain (P&lt;.001). Secondary caries and cracks did not occur. A post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hoc analysis of clinical performance did not indicate any significant differences between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extensive tooth wear with primarily mechanical or chemical factors.</w:t>
      </w:r>
    </w:p>
    <w:p w:rsidR="00BE2416" w:rsidRPr="00BE2416" w:rsidRDefault="00BE2416" w:rsidP="00BE24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0"/>
          <w:lang w:val="en-US"/>
        </w:rPr>
      </w:pPr>
    </w:p>
    <w:p w:rsidR="00EB5817" w:rsidRPr="00BE2416" w:rsidRDefault="005819DD" w:rsidP="00BE24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0"/>
          <w:lang w:val="en-US"/>
        </w:rPr>
      </w:pPr>
      <w:r w:rsidRPr="00BE2416">
        <w:rPr>
          <w:rFonts w:asciiTheme="minorHAnsi" w:hAnsiTheme="minorHAnsi" w:cstheme="minorHAnsi"/>
          <w:kern w:val="0"/>
          <w:sz w:val="20"/>
          <w:u w:val="single"/>
          <w:lang w:val="en-US"/>
        </w:rPr>
        <w:t>Conclusions</w:t>
      </w:r>
      <w:r w:rsidRPr="00BE2416">
        <w:rPr>
          <w:rFonts w:asciiTheme="minorHAnsi" w:hAnsiTheme="minorHAnsi" w:cstheme="minorHAnsi"/>
          <w:kern w:val="0"/>
          <w:sz w:val="20"/>
          <w:u w:val="single"/>
          <w:lang w:val="en-US"/>
        </w:rPr>
        <w:t>: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No differences were found between the 2 types of ceramic materials concerning the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long-term success and clinical performance, except that TZ crowns were rated by a blinded clinician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as less esthetic than LD crowns. The use of high-strength ceramic materials, as well as reliable</w:t>
      </w:r>
      <w:r w:rsidR="00BE2416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adhesive bonding, are probably the key factors in the long-term success of ceramic crowns in</w:t>
      </w:r>
      <w:r w:rsid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participants with extensive tooth wear independent of the specific etiology.</w:t>
      </w:r>
    </w:p>
    <w:p w:rsidR="00BE2416" w:rsidRPr="00BE2416" w:rsidRDefault="00BE2416" w:rsidP="00BE24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0"/>
          <w:lang w:val="en-US"/>
        </w:rPr>
      </w:pPr>
    </w:p>
    <w:p w:rsidR="005819DD" w:rsidRPr="00BE2416" w:rsidRDefault="005819DD" w:rsidP="00BE24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lang w:val="en-US"/>
        </w:rPr>
      </w:pPr>
      <w:r w:rsidRPr="00BE2416">
        <w:rPr>
          <w:rFonts w:asciiTheme="minorHAnsi" w:hAnsiTheme="minorHAnsi" w:cstheme="minorHAnsi"/>
          <w:kern w:val="0"/>
          <w:sz w:val="20"/>
          <w:u w:val="single"/>
          <w:lang w:val="en-US"/>
        </w:rPr>
        <w:t>Clinical Implications</w:t>
      </w:r>
      <w:r w:rsidR="005B7C28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: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Existing recommendations regarding the restorative</w:t>
      </w:r>
      <w:r w:rsidR="005B7C28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treatment of participants with extensive tooth wear</w:t>
      </w:r>
      <w:r w:rsidR="005B7C28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have been based on in vitro or case series studies,</w:t>
      </w:r>
      <w:r w:rsidR="005B7C28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clinical experience, and the opinions of authorities.</w:t>
      </w:r>
      <w:r w:rsid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The results obtained from the current randomized</w:t>
      </w:r>
      <w:r w:rsidR="005B7C28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controlled trial provided an evidence-based tool for</w:t>
      </w:r>
      <w:r w:rsidR="005B7C28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the prosthetic management of patients with</w:t>
      </w:r>
      <w:r w:rsidR="005B7C28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extensive tooth wear and suggested similar</w:t>
      </w:r>
      <w:r w:rsidR="005B7C28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performance for LD and TZ crowns, with better</w:t>
      </w:r>
      <w:r w:rsidR="005B7C28" w:rsidRPr="00BE2416">
        <w:rPr>
          <w:rFonts w:asciiTheme="minorHAnsi" w:hAnsiTheme="minorHAnsi" w:cstheme="minorHAnsi"/>
          <w:kern w:val="0"/>
          <w:sz w:val="20"/>
          <w:lang w:val="en-US"/>
        </w:rPr>
        <w:t xml:space="preserve"> </w:t>
      </w:r>
      <w:r w:rsidRPr="00BE2416">
        <w:rPr>
          <w:rFonts w:asciiTheme="minorHAnsi" w:hAnsiTheme="minorHAnsi" w:cstheme="minorHAnsi"/>
          <w:kern w:val="0"/>
          <w:sz w:val="20"/>
          <w:lang w:val="en-US"/>
        </w:rPr>
        <w:t>esthetics for the LD crowns.</w:t>
      </w:r>
    </w:p>
    <w:sectPr w:rsidR="005819DD" w:rsidRPr="00BE241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46dcae8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DD"/>
    <w:rsid w:val="00502751"/>
    <w:rsid w:val="005819DD"/>
    <w:rsid w:val="005B7C28"/>
    <w:rsid w:val="00BE2416"/>
    <w:rsid w:val="00E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6254"/>
  <w15:chartTrackingRefBased/>
  <w15:docId w15:val="{171BE3A2-6741-4102-B60E-068A034C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kern w:val="22"/>
      <w:sz w:val="24"/>
    </w:rPr>
  </w:style>
  <w:style w:type="paragraph" w:styleId="Rubrik1">
    <w:name w:val="heading 1"/>
    <w:basedOn w:val="Normal"/>
    <w:next w:val="Normal"/>
    <w:qFormat/>
    <w:pPr>
      <w:spacing w:after="240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spacing w:after="24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after="24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keepNext/>
      <w:spacing w:after="240"/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pPr>
      <w:spacing w:after="240"/>
      <w:outlineLvl w:val="4"/>
    </w:pPr>
    <w:rPr>
      <w:cap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paragraph" w:styleId="Brdtextmedindrag">
    <w:name w:val="Body Text Indent"/>
    <w:basedOn w:val="Normal"/>
    <w:semiHidden/>
    <w:pPr>
      <w:spacing w:after="120"/>
      <w:ind w:left="567"/>
    </w:p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pPr>
      <w:tabs>
        <w:tab w:val="right" w:leader="dot" w:pos="9639"/>
      </w:tabs>
    </w:pPr>
    <w:rPr>
      <w:b/>
      <w:sz w:val="28"/>
    </w:rPr>
  </w:style>
  <w:style w:type="paragraph" w:styleId="Innehll2">
    <w:name w:val="toc 2"/>
    <w:basedOn w:val="Normal"/>
    <w:next w:val="Normal"/>
    <w:autoRedefine/>
    <w:semiHidden/>
    <w:pPr>
      <w:ind w:left="240"/>
    </w:pPr>
  </w:style>
  <w:style w:type="paragraph" w:styleId="Innehll3">
    <w:name w:val="toc 3"/>
    <w:basedOn w:val="Normal"/>
    <w:next w:val="Normal"/>
    <w:autoRedefine/>
    <w:semiHidden/>
    <w:pPr>
      <w:tabs>
        <w:tab w:val="right" w:leader="dot" w:pos="9639"/>
      </w:tabs>
      <w:ind w:left="440"/>
    </w:pPr>
    <w:rPr>
      <w:b/>
      <w:i/>
    </w:rPr>
  </w:style>
  <w:style w:type="paragraph" w:styleId="Innehll4">
    <w:name w:val="toc 4"/>
    <w:basedOn w:val="Normal"/>
    <w:next w:val="Normal"/>
    <w:autoRedefine/>
    <w:semiHidden/>
    <w:pPr>
      <w:tabs>
        <w:tab w:val="right" w:leader="dot" w:pos="9639"/>
      </w:tabs>
      <w:ind w:left="660"/>
    </w:pPr>
  </w:style>
  <w:style w:type="paragraph" w:styleId="Normaltindrag">
    <w:name w:val="Normal Indent"/>
    <w:basedOn w:val="Normal"/>
    <w:semiHidden/>
    <w:pPr>
      <w:ind w:left="567"/>
    </w:pPr>
  </w:style>
  <w:style w:type="paragraph" w:styleId="Sidfot">
    <w:name w:val="footer"/>
    <w:basedOn w:val="Normal"/>
    <w:semiHidden/>
    <w:rPr>
      <w:sz w:val="20"/>
    </w:rPr>
  </w:style>
  <w:style w:type="paragraph" w:styleId="Sidhuvud">
    <w:name w:val="header"/>
    <w:basedOn w:val="Normal"/>
    <w:semiHidden/>
    <w:pPr>
      <w:ind w:left="-1134"/>
    </w:pPr>
  </w:style>
  <w:style w:type="character" w:styleId="Sidnummer">
    <w:name w:val="page number"/>
    <w:basedOn w:val="Standardstycketeckensnitt"/>
    <w:semiHidden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Folktandvarden Stockholms lan AB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Wedad Hammoudi</dc:creator>
  <cp:keywords/>
  <dc:description/>
  <cp:lastModifiedBy>Wedad Hammoudi</cp:lastModifiedBy>
  <cp:revision>1</cp:revision>
  <dcterms:created xsi:type="dcterms:W3CDTF">2022-09-17T19:05:00Z</dcterms:created>
  <dcterms:modified xsi:type="dcterms:W3CDTF">2022-09-17T20:08:00Z</dcterms:modified>
</cp:coreProperties>
</file>