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sz w:val="28"/>
          <w:szCs w:val="28"/>
          <w:lang w:val="en-IN"/>
        </w:rPr>
      </w:pPr>
      <w:r>
        <w:drawing>
          <wp:anchor distT="0" distB="0" distL="114300" distR="114300" simplePos="0" relativeHeight="251661312" behindDoc="0" locked="0" layoutInCell="1" allowOverlap="1">
            <wp:simplePos x="0" y="0"/>
            <wp:positionH relativeFrom="column">
              <wp:posOffset>-38100</wp:posOffset>
            </wp:positionH>
            <wp:positionV relativeFrom="paragraph">
              <wp:posOffset>-561975</wp:posOffset>
            </wp:positionV>
            <wp:extent cx="5273040" cy="866775"/>
            <wp:effectExtent l="0" t="0" r="381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5273040" cy="866775"/>
                    </a:xfrm>
                    <a:prstGeom prst="rect">
                      <a:avLst/>
                    </a:prstGeom>
                    <a:noFill/>
                    <a:ln>
                      <a:noFill/>
                    </a:ln>
                  </pic:spPr>
                </pic:pic>
              </a:graphicData>
            </a:graphic>
          </wp:anchor>
        </w:drawing>
      </w:r>
    </w:p>
    <w:p>
      <w:pPr>
        <w:rPr>
          <w:rFonts w:hint="default"/>
          <w:sz w:val="28"/>
          <w:szCs w:val="28"/>
          <w:lang w:val="en-IN"/>
        </w:rPr>
      </w:pPr>
      <w:r>
        <w:rPr>
          <w:rFonts w:hint="default"/>
          <w:sz w:val="28"/>
          <w:szCs w:val="28"/>
          <w:lang w:val="en-IN"/>
        </w:rPr>
        <w:t xml:space="preserve"> Acute pancreatitis in children  </w:t>
      </w:r>
    </w:p>
    <w:p>
      <w:pPr>
        <w:rPr>
          <w:rFonts w:hint="default"/>
          <w:sz w:val="28"/>
          <w:szCs w:val="28"/>
          <w:lang w:val="en-IN"/>
        </w:rPr>
      </w:pPr>
    </w:p>
    <w:p>
      <w:pPr>
        <w:rPr>
          <w:rFonts w:hint="default"/>
          <w:sz w:val="24"/>
          <w:szCs w:val="24"/>
          <w:lang w:val="en-IN"/>
        </w:rPr>
      </w:pPr>
      <w:r>
        <w:rPr>
          <w:rFonts w:hint="default"/>
          <w:sz w:val="24"/>
          <w:szCs w:val="24"/>
          <w:lang w:val="en-IN"/>
        </w:rPr>
        <w:t>Ramachandran Muthiah</w:t>
      </w:r>
    </w:p>
    <w:p>
      <w:pPr>
        <w:rPr>
          <w:rFonts w:hint="default"/>
          <w:sz w:val="24"/>
          <w:szCs w:val="24"/>
          <w:lang w:val="en-IN"/>
        </w:rPr>
      </w:pPr>
      <w:r>
        <w:rPr>
          <w:rFonts w:hint="default"/>
          <w:sz w:val="24"/>
          <w:szCs w:val="24"/>
          <w:lang w:val="en-IN"/>
        </w:rPr>
        <w:t>Morning star hospital, Marthandam, Kanyakumari District, India</w:t>
      </w:r>
    </w:p>
    <w:p>
      <w:pPr>
        <w:rPr>
          <w:rFonts w:hint="default"/>
          <w:sz w:val="24"/>
          <w:szCs w:val="24"/>
          <w:lang w:val="en-IN"/>
        </w:rPr>
      </w:pPr>
    </w:p>
    <w:p>
      <w:pPr>
        <w:rPr>
          <w:rFonts w:hint="default"/>
          <w:sz w:val="24"/>
          <w:szCs w:val="24"/>
          <w:lang w:val="en-IN"/>
        </w:rPr>
      </w:pPr>
      <w:r>
        <w:rPr>
          <w:rFonts w:hint="default"/>
          <w:sz w:val="24"/>
          <w:szCs w:val="24"/>
          <w:lang w:val="en-IN"/>
        </w:rPr>
        <w:t>Background and aim</w:t>
      </w:r>
    </w:p>
    <w:p>
      <w:pPr>
        <w:rPr>
          <w:rFonts w:hint="default"/>
          <w:sz w:val="24"/>
          <w:szCs w:val="24"/>
          <w:lang w:val="en-IN"/>
        </w:rPr>
      </w:pPr>
    </w:p>
    <w:p>
      <w:pPr>
        <w:ind w:firstLine="840" w:firstLineChars="350"/>
        <w:jc w:val="both"/>
        <w:rPr>
          <w:rFonts w:hint="default" w:ascii="Cambria" w:hAnsi="Cambria" w:eastAsia="Cambria" w:cs="Cambria"/>
          <w:i w:val="0"/>
          <w:iCs w:val="0"/>
          <w:caps w:val="0"/>
          <w:color w:val="212121"/>
          <w:spacing w:val="0"/>
          <w:sz w:val="24"/>
          <w:szCs w:val="24"/>
          <w:shd w:val="clear" w:fill="FFFFFF"/>
          <w:lang w:val="en-IN"/>
        </w:rPr>
      </w:pPr>
      <w:r>
        <w:rPr>
          <w:color w:val="000000" w:themeColor="text1"/>
          <w:sz w:val="24"/>
          <w:szCs w:val="24"/>
          <w14:textFill>
            <w14:solidFill>
              <w14:schemeClr w14:val="tx1"/>
            </w14:solidFill>
          </w14:textFill>
        </w:rPr>
        <w:t>Acute pancreatitis is usually a sterile inflammatory process caused by chemical autodigestion of pancreas</w:t>
      </w:r>
      <w:r>
        <w:rPr>
          <w:rFonts w:hint="default"/>
          <w:color w:val="000000" w:themeColor="text1"/>
          <w:sz w:val="24"/>
          <w:szCs w:val="24"/>
          <w:lang w:val="en-IN"/>
          <w14:textFill>
            <w14:solidFill>
              <w14:schemeClr w14:val="tx1"/>
            </w14:solidFill>
          </w14:textFill>
        </w:rPr>
        <w:t xml:space="preserve"> and</w:t>
      </w:r>
      <w:r>
        <w:rPr>
          <w:color w:val="000000" w:themeColor="text1"/>
          <w:sz w:val="24"/>
          <w:szCs w:val="24"/>
          <w14:textFill>
            <w14:solidFill>
              <w14:schemeClr w14:val="tx1"/>
            </w14:solidFill>
          </w14:textFill>
        </w:rPr>
        <w:t xml:space="preserve"> the pancreas becomes inflammed (swollen) over a short period of time. </w:t>
      </w:r>
      <w:r>
        <w:rPr>
          <w:rFonts w:hint="default" w:ascii="Cambria" w:hAnsi="Cambria" w:eastAsia="Cambria" w:cs="Cambria"/>
          <w:i w:val="0"/>
          <w:iCs w:val="0"/>
          <w:caps w:val="0"/>
          <w:color w:val="212121"/>
          <w:spacing w:val="0"/>
          <w:sz w:val="24"/>
          <w:szCs w:val="24"/>
          <w:shd w:val="clear" w:fill="FFFFFF"/>
        </w:rPr>
        <w:t> The etiology of acute pancreatitis in children is often drugs, infections, trauma,</w:t>
      </w:r>
      <w:r>
        <w:rPr>
          <w:rFonts w:hint="default" w:ascii="Cambria" w:hAnsi="Cambria" w:eastAsia="Cambria" w:cs="Cambria"/>
          <w:i w:val="0"/>
          <w:iCs w:val="0"/>
          <w:caps w:val="0"/>
          <w:color w:val="212121"/>
          <w:spacing w:val="0"/>
          <w:sz w:val="24"/>
          <w:szCs w:val="24"/>
          <w:shd w:val="clear" w:fill="FFFFFF"/>
          <w:lang w:val="en-IN"/>
        </w:rPr>
        <w:t xml:space="preserve"> metabolic</w:t>
      </w:r>
      <w:r>
        <w:rPr>
          <w:rFonts w:hint="default" w:ascii="Cambria" w:hAnsi="Cambria" w:eastAsia="Cambria" w:cs="Cambria"/>
          <w:i w:val="0"/>
          <w:iCs w:val="0"/>
          <w:caps w:val="0"/>
          <w:color w:val="212121"/>
          <w:spacing w:val="0"/>
          <w:sz w:val="24"/>
          <w:szCs w:val="24"/>
          <w:shd w:val="clear" w:fill="FFFFFF"/>
        </w:rPr>
        <w:t xml:space="preserve"> </w:t>
      </w:r>
      <w:r>
        <w:rPr>
          <w:rFonts w:hint="default" w:ascii="Cambria" w:hAnsi="Cambria" w:eastAsia="Cambria" w:cs="Cambria"/>
          <w:i w:val="0"/>
          <w:iCs w:val="0"/>
          <w:caps w:val="0"/>
          <w:color w:val="212121"/>
          <w:spacing w:val="0"/>
          <w:sz w:val="24"/>
          <w:szCs w:val="24"/>
          <w:shd w:val="clear" w:fill="FFFFFF"/>
          <w:lang w:val="en-IN"/>
        </w:rPr>
        <w:t>(</w:t>
      </w:r>
      <w:r>
        <w:rPr>
          <w:rFonts w:hint="default" w:ascii="Cambria" w:hAnsi="Cambria" w:eastAsia="Cambria" w:cs="Cambria"/>
          <w:i w:val="0"/>
          <w:iCs w:val="0"/>
          <w:caps w:val="0"/>
          <w:color w:val="212121"/>
          <w:spacing w:val="0"/>
          <w:sz w:val="24"/>
          <w:szCs w:val="24"/>
          <w:shd w:val="clear" w:fill="FFFCF0"/>
        </w:rPr>
        <w:t>Hyperlipoproteinemia (I, IV, V), hypercalcemia, α1 antitrypsin deficiency</w:t>
      </w:r>
      <w:r>
        <w:rPr>
          <w:rFonts w:hint="default" w:ascii="Cambria" w:hAnsi="Cambria" w:eastAsia="Cambria" w:cs="Cambria"/>
          <w:i w:val="0"/>
          <w:iCs w:val="0"/>
          <w:caps w:val="0"/>
          <w:color w:val="212121"/>
          <w:spacing w:val="0"/>
          <w:sz w:val="24"/>
          <w:szCs w:val="24"/>
          <w:shd w:val="clear" w:fill="FFFCF0"/>
          <w:lang w:val="en-IN"/>
        </w:rPr>
        <w:t>)</w:t>
      </w:r>
      <w:r>
        <w:rPr>
          <w:rFonts w:hint="default" w:ascii="Cambria" w:hAnsi="Cambria" w:eastAsia="Cambria" w:cs="Cambria"/>
          <w:i w:val="0"/>
          <w:iCs w:val="0"/>
          <w:caps w:val="0"/>
          <w:color w:val="212121"/>
          <w:spacing w:val="0"/>
          <w:sz w:val="24"/>
          <w:szCs w:val="24"/>
          <w:shd w:val="clear" w:fill="FFFFFF"/>
        </w:rPr>
        <w:t>or</w:t>
      </w:r>
      <w:r>
        <w:rPr>
          <w:rFonts w:hint="default" w:ascii="Cambria" w:hAnsi="Cambria" w:eastAsia="Cambria" w:cs="Cambria"/>
          <w:i w:val="0"/>
          <w:iCs w:val="0"/>
          <w:caps w:val="0"/>
          <w:color w:val="212121"/>
          <w:spacing w:val="0"/>
          <w:sz w:val="24"/>
          <w:szCs w:val="24"/>
          <w:shd w:val="clear" w:fill="FFFFFF"/>
          <w:lang w:val="en-IN"/>
        </w:rPr>
        <w:t xml:space="preserve"> </w:t>
      </w:r>
      <w:r>
        <w:rPr>
          <w:rFonts w:hint="default" w:ascii="Cambria" w:hAnsi="Cambria" w:eastAsia="Cambria" w:cs="Cambria"/>
          <w:i w:val="0"/>
          <w:iCs w:val="0"/>
          <w:caps w:val="0"/>
          <w:color w:val="212121"/>
          <w:spacing w:val="0"/>
          <w:sz w:val="24"/>
          <w:szCs w:val="24"/>
          <w:shd w:val="clear" w:fill="FFFFFF"/>
        </w:rPr>
        <w:t>anatomic anomalies such as choledochal cysts</w:t>
      </w:r>
      <w:r>
        <w:rPr>
          <w:rFonts w:hint="default" w:ascii="Cambria" w:hAnsi="Cambria" w:eastAsia="Cambria" w:cs="Cambria"/>
          <w:i w:val="0"/>
          <w:iCs w:val="0"/>
          <w:caps w:val="0"/>
          <w:color w:val="212121"/>
          <w:spacing w:val="0"/>
          <w:sz w:val="24"/>
          <w:szCs w:val="24"/>
          <w:shd w:val="clear" w:fill="FFFFFF"/>
          <w:lang w:val="en-IN"/>
        </w:rPr>
        <w:t>,</w:t>
      </w:r>
      <w:r>
        <w:rPr>
          <w:rFonts w:hint="default" w:ascii="Cambria" w:hAnsi="Cambria" w:eastAsia="Cambria" w:cs="Cambria"/>
          <w:i w:val="0"/>
          <w:iCs w:val="0"/>
          <w:caps w:val="0"/>
          <w:color w:val="212121"/>
          <w:spacing w:val="0"/>
          <w:sz w:val="24"/>
          <w:szCs w:val="24"/>
          <w:shd w:val="clear" w:fill="FFFFFF"/>
        </w:rPr>
        <w:t xml:space="preserve"> </w:t>
      </w:r>
      <w:r>
        <w:rPr>
          <w:rFonts w:hint="default" w:ascii="Cambria" w:hAnsi="Cambria" w:eastAsia="Cambria" w:cs="Cambria"/>
          <w:i w:val="0"/>
          <w:iCs w:val="0"/>
          <w:caps w:val="0"/>
          <w:color w:val="212121"/>
          <w:spacing w:val="0"/>
          <w:sz w:val="24"/>
          <w:szCs w:val="24"/>
          <w:shd w:val="clear" w:fill="FFFCF0"/>
        </w:rPr>
        <w:t>periampullary obstruction</w:t>
      </w:r>
      <w:r>
        <w:rPr>
          <w:rFonts w:hint="default" w:ascii="Cambria" w:hAnsi="Cambria" w:eastAsia="Cambria" w:cs="Cambria"/>
          <w:i w:val="0"/>
          <w:iCs w:val="0"/>
          <w:caps w:val="0"/>
          <w:color w:val="212121"/>
          <w:spacing w:val="0"/>
          <w:sz w:val="24"/>
          <w:szCs w:val="24"/>
          <w:shd w:val="clear" w:fill="FFFCF0"/>
          <w:lang w:val="en-IN"/>
        </w:rPr>
        <w:t xml:space="preserve"> </w:t>
      </w:r>
      <w:r>
        <w:rPr>
          <w:rFonts w:hint="default" w:ascii="Cambria" w:hAnsi="Cambria" w:eastAsia="Cambria" w:cs="Cambria"/>
          <w:i w:val="0"/>
          <w:iCs w:val="0"/>
          <w:caps w:val="0"/>
          <w:color w:val="212121"/>
          <w:spacing w:val="0"/>
          <w:sz w:val="24"/>
          <w:szCs w:val="24"/>
          <w:shd w:val="clear" w:fill="FFFFFF"/>
        </w:rPr>
        <w:t>and abnormal union of the pancreatobiliary junction.</w:t>
      </w:r>
      <w:r>
        <w:rPr>
          <w:rFonts w:hint="default" w:ascii="Cambria" w:hAnsi="Cambria" w:eastAsia="Cambria" w:cs="Cambria"/>
          <w:i w:val="0"/>
          <w:iCs w:val="0"/>
          <w:caps w:val="0"/>
          <w:color w:val="212121"/>
          <w:spacing w:val="0"/>
          <w:sz w:val="24"/>
          <w:szCs w:val="24"/>
          <w:shd w:val="clear" w:fill="FFFFFF"/>
          <w:lang w:val="en-IN"/>
        </w:rPr>
        <w:t xml:space="preserve"> </w:t>
      </w:r>
    </w:p>
    <w:p>
      <w:pPr>
        <w:ind w:firstLine="840" w:firstLineChars="350"/>
        <w:jc w:val="both"/>
        <w:rPr>
          <w:rFonts w:hint="default" w:ascii="Cambria" w:hAnsi="Cambria" w:eastAsia="Cambria" w:cs="Cambria"/>
          <w:i w:val="0"/>
          <w:iCs w:val="0"/>
          <w:caps w:val="0"/>
          <w:color w:val="212121"/>
          <w:spacing w:val="0"/>
          <w:sz w:val="24"/>
          <w:szCs w:val="24"/>
          <w:shd w:val="clear" w:fill="FFFFFF"/>
          <w:lang w:val="en-IN"/>
        </w:rPr>
      </w:pPr>
    </w:p>
    <w:p>
      <w:pPr>
        <w:jc w:val="both"/>
        <w:rPr>
          <w:rFonts w:hint="default" w:ascii="Cambria" w:hAnsi="Cambria" w:eastAsia="Cambria" w:cs="Cambria"/>
          <w:i w:val="0"/>
          <w:iCs w:val="0"/>
          <w:caps w:val="0"/>
          <w:color w:val="212121"/>
          <w:spacing w:val="0"/>
          <w:sz w:val="24"/>
          <w:szCs w:val="24"/>
          <w:shd w:val="clear" w:fill="FFFFFF"/>
          <w:lang w:val="en-IN"/>
        </w:rPr>
      </w:pPr>
      <w:r>
        <w:rPr>
          <w:rFonts w:hint="default" w:ascii="Cambria" w:hAnsi="Cambria" w:eastAsia="Cambria" w:cs="Cambria"/>
          <w:i w:val="0"/>
          <w:iCs w:val="0"/>
          <w:caps w:val="0"/>
          <w:color w:val="212121"/>
          <w:spacing w:val="0"/>
          <w:sz w:val="24"/>
          <w:szCs w:val="24"/>
          <w:shd w:val="clear" w:fill="FFFFFF"/>
          <w:lang w:val="en-IN"/>
        </w:rPr>
        <w:t>Methods</w:t>
      </w:r>
    </w:p>
    <w:p>
      <w:pPr>
        <w:ind w:firstLine="840" w:firstLineChars="350"/>
        <w:jc w:val="both"/>
        <w:rPr>
          <w:rFonts w:hint="default"/>
          <w:color w:val="000000" w:themeColor="text1"/>
          <w:sz w:val="24"/>
          <w:szCs w:val="24"/>
          <w:lang w:val="en-IN"/>
          <w14:textFill>
            <w14:solidFill>
              <w14:schemeClr w14:val="tx1"/>
            </w14:solidFill>
          </w14:textFill>
        </w:rPr>
      </w:pPr>
      <w:r>
        <w:rPr>
          <w:rFonts w:hint="default" w:ascii="Cambria" w:hAnsi="Cambria" w:eastAsia="Cambria" w:cs="Cambria"/>
          <w:i w:val="0"/>
          <w:iCs w:val="0"/>
          <w:caps w:val="0"/>
          <w:color w:val="212121"/>
          <w:spacing w:val="0"/>
          <w:sz w:val="24"/>
          <w:szCs w:val="24"/>
          <w:shd w:val="clear" w:fill="FFFFFF"/>
        </w:rPr>
        <w:t>The etiology, manifestations, and course</w:t>
      </w:r>
      <w:r>
        <w:rPr>
          <w:rFonts w:hint="default" w:ascii="Cambria" w:hAnsi="Cambria" w:eastAsia="Cambria" w:cs="Cambria"/>
          <w:i w:val="0"/>
          <w:iCs w:val="0"/>
          <w:caps w:val="0"/>
          <w:color w:val="212121"/>
          <w:spacing w:val="0"/>
          <w:sz w:val="24"/>
          <w:szCs w:val="24"/>
          <w:shd w:val="clear" w:fill="FFFFFF"/>
          <w:lang w:val="en-IN"/>
        </w:rPr>
        <w:t xml:space="preserve"> </w:t>
      </w:r>
      <w:r>
        <w:rPr>
          <w:rFonts w:hint="default" w:ascii="Cambria" w:hAnsi="Cambria" w:eastAsia="Cambria" w:cs="Cambria"/>
          <w:i w:val="0"/>
          <w:iCs w:val="0"/>
          <w:caps w:val="0"/>
          <w:color w:val="212121"/>
          <w:spacing w:val="0"/>
          <w:sz w:val="24"/>
          <w:szCs w:val="24"/>
          <w:shd w:val="clear" w:fill="FFFFFF"/>
        </w:rPr>
        <w:t>in children are often different</w:t>
      </w:r>
      <w:r>
        <w:rPr>
          <w:rFonts w:hint="default" w:ascii="Cambria" w:hAnsi="Cambria" w:eastAsia="Cambria" w:cs="Cambria"/>
          <w:i w:val="0"/>
          <w:iCs w:val="0"/>
          <w:caps w:val="0"/>
          <w:color w:val="212121"/>
          <w:spacing w:val="0"/>
          <w:sz w:val="24"/>
          <w:szCs w:val="24"/>
          <w:shd w:val="clear" w:fill="FFFFFF"/>
          <w:lang w:val="en-IN"/>
        </w:rPr>
        <w:t xml:space="preserve">, but therapeutic aspects are similar in both adults and children. </w:t>
      </w:r>
      <w:r>
        <w:rPr>
          <w:rFonts w:hint="default" w:ascii="Cambria" w:hAnsi="Cambria" w:eastAsia="Cambria" w:cs="Cambria"/>
          <w:i w:val="0"/>
          <w:iCs w:val="0"/>
          <w:caps w:val="0"/>
          <w:color w:val="212121"/>
          <w:spacing w:val="0"/>
          <w:sz w:val="24"/>
          <w:szCs w:val="24"/>
          <w:shd w:val="clear" w:fill="FFFFFF"/>
        </w:rPr>
        <w:t>MRCP should be performed before ERCP to detect any pancreatobiliary tract disease in children with initial onset of acute pancreatitis of unknown cause. When pancreatitis of unknown etiology occurs, testing for the mumps virus</w:t>
      </w:r>
      <w:r>
        <w:rPr>
          <w:rFonts w:hint="default" w:ascii="Cambria" w:hAnsi="Cambria" w:eastAsia="Cambria" w:cs="Cambria"/>
          <w:i w:val="0"/>
          <w:iCs w:val="0"/>
          <w:caps w:val="0"/>
          <w:color w:val="212121"/>
          <w:spacing w:val="0"/>
          <w:sz w:val="24"/>
          <w:szCs w:val="24"/>
          <w:shd w:val="clear" w:fill="FFFFFF"/>
          <w:lang w:val="en-IN"/>
        </w:rPr>
        <w:t>, ASO (antistreptolysin O) titer, COVID-19</w:t>
      </w:r>
      <w:r>
        <w:rPr>
          <w:rFonts w:hint="default" w:ascii="Cambria" w:hAnsi="Cambria" w:eastAsia="Cambria" w:cs="Cambria"/>
          <w:i w:val="0"/>
          <w:iCs w:val="0"/>
          <w:caps w:val="0"/>
          <w:color w:val="212121"/>
          <w:spacing w:val="0"/>
          <w:sz w:val="24"/>
          <w:szCs w:val="24"/>
          <w:shd w:val="clear" w:fill="FFFFFF"/>
        </w:rPr>
        <w:t xml:space="preserve"> is recommended.</w:t>
      </w:r>
      <w:r>
        <w:rPr>
          <w:rFonts w:hint="default" w:ascii="Cambria" w:hAnsi="Cambria" w:eastAsia="Cambria" w:cs="Cambria"/>
          <w:i w:val="0"/>
          <w:iCs w:val="0"/>
          <w:caps w:val="0"/>
          <w:color w:val="212121"/>
          <w:spacing w:val="0"/>
          <w:sz w:val="24"/>
          <w:szCs w:val="24"/>
          <w:shd w:val="clear" w:fill="FFFFFF"/>
          <w:lang w:val="en-IN"/>
        </w:rPr>
        <w:t xml:space="preserve"> </w:t>
      </w:r>
      <w:r>
        <w:rPr>
          <w:rFonts w:hint="default" w:ascii="Cambria" w:hAnsi="Cambria" w:eastAsia="Cambria" w:cs="Cambria"/>
          <w:i w:val="0"/>
          <w:iCs w:val="0"/>
          <w:caps w:val="0"/>
          <w:color w:val="212121"/>
          <w:spacing w:val="0"/>
          <w:sz w:val="24"/>
          <w:szCs w:val="24"/>
          <w:shd w:val="clear" w:fill="FFFFFF"/>
        </w:rPr>
        <w:t>Hereditary pancreatitis</w:t>
      </w:r>
      <w:r>
        <w:rPr>
          <w:rFonts w:hint="default" w:ascii="Cambria" w:hAnsi="Cambria" w:eastAsia="Cambria" w:cs="Cambria"/>
          <w:i w:val="0"/>
          <w:iCs w:val="0"/>
          <w:caps w:val="0"/>
          <w:color w:val="212121"/>
          <w:spacing w:val="0"/>
          <w:sz w:val="24"/>
          <w:szCs w:val="24"/>
          <w:shd w:val="clear" w:fill="FFFFFF"/>
          <w:lang w:val="en-IN"/>
        </w:rPr>
        <w:t>, r</w:t>
      </w:r>
      <w:r>
        <w:rPr>
          <w:rFonts w:hint="default" w:ascii="Cambria" w:hAnsi="Cambria" w:eastAsia="Cambria" w:cs="Cambria"/>
          <w:i w:val="0"/>
          <w:iCs w:val="0"/>
          <w:caps w:val="0"/>
          <w:color w:val="212121"/>
          <w:spacing w:val="0"/>
          <w:sz w:val="24"/>
          <w:szCs w:val="24"/>
          <w:shd w:val="clear" w:fill="FFFFFF"/>
        </w:rPr>
        <w:t>ecently, variants in </w:t>
      </w:r>
      <w:r>
        <w:rPr>
          <w:rStyle w:val="4"/>
          <w:rFonts w:hint="default" w:ascii="Cambria" w:hAnsi="Cambria" w:eastAsia="Cambria" w:cs="Cambria"/>
          <w:caps w:val="0"/>
          <w:color w:val="212121"/>
          <w:spacing w:val="0"/>
          <w:sz w:val="24"/>
          <w:szCs w:val="24"/>
          <w:shd w:val="clear" w:fill="FFFFFF"/>
        </w:rPr>
        <w:t>CPA1</w:t>
      </w:r>
      <w:r>
        <w:rPr>
          <w:rFonts w:hint="default" w:ascii="Cambria" w:hAnsi="Cambria" w:eastAsia="Cambria" w:cs="Cambria"/>
          <w:i w:val="0"/>
          <w:iCs w:val="0"/>
          <w:caps w:val="0"/>
          <w:color w:val="212121"/>
          <w:spacing w:val="0"/>
          <w:sz w:val="24"/>
          <w:szCs w:val="24"/>
          <w:shd w:val="clear" w:fill="FFFFFF"/>
        </w:rPr>
        <w:t>, which encodes carboxypeptidase A1, were implicated in early onset pancreatitis in children up to 10 years old</w:t>
      </w:r>
      <w:r>
        <w:rPr>
          <w:rFonts w:hint="default" w:ascii="Cambria" w:hAnsi="Cambria" w:eastAsia="Cambria" w:cs="Cambria"/>
          <w:i w:val="0"/>
          <w:iCs w:val="0"/>
          <w:caps w:val="0"/>
          <w:color w:val="212121"/>
          <w:spacing w:val="0"/>
          <w:sz w:val="24"/>
          <w:szCs w:val="24"/>
          <w:shd w:val="clear" w:fill="FFFFFF"/>
          <w:lang w:val="en-IN"/>
        </w:rPr>
        <w:t xml:space="preserve"> and</w:t>
      </w:r>
      <w:r>
        <w:rPr>
          <w:rFonts w:hint="default" w:ascii="Cambria" w:hAnsi="Cambria" w:eastAsia="Cambria" w:cs="Cambria"/>
          <w:i w:val="0"/>
          <w:iCs w:val="0"/>
          <w:caps w:val="0"/>
          <w:color w:val="212121"/>
          <w:spacing w:val="0"/>
          <w:sz w:val="24"/>
          <w:szCs w:val="24"/>
          <w:shd w:val="clear" w:fill="FFFFFF"/>
        </w:rPr>
        <w:t xml:space="preserve"> may involve misfolding-induced endoplasmic reticulum stress rather than elevated trypsin activity. leakage of activated enzymes from the pancreas causes secondary cytokine production. These cytokines trigger the systemic inflammatory response syndrome (SIRS)</w:t>
      </w:r>
      <w:r>
        <w:rPr>
          <w:rFonts w:hint="default" w:ascii="Cambria" w:hAnsi="Cambria" w:eastAsia="Cambria" w:cs="Cambria"/>
          <w:i w:val="0"/>
          <w:iCs w:val="0"/>
          <w:caps w:val="0"/>
          <w:color w:val="212121"/>
          <w:spacing w:val="0"/>
          <w:sz w:val="24"/>
          <w:szCs w:val="24"/>
          <w:shd w:val="clear" w:fill="FFFFFF"/>
          <w:lang w:val="en-IN"/>
        </w:rPr>
        <w:t>,</w:t>
      </w:r>
      <w:r>
        <w:rPr>
          <w:rFonts w:hint="default" w:ascii="Cambria" w:hAnsi="Cambria" w:eastAsia="Cambria" w:cs="Cambria"/>
          <w:i w:val="0"/>
          <w:iCs w:val="0"/>
          <w:caps w:val="0"/>
          <w:color w:val="212121"/>
          <w:spacing w:val="0"/>
          <w:sz w:val="24"/>
          <w:szCs w:val="24"/>
          <w:shd w:val="clear" w:fill="FFFFFF"/>
        </w:rPr>
        <w:t xml:space="preserve"> results in hyperactivation of macrophages and neutrophils throughout the body and the release of tissue injury mediators</w:t>
      </w:r>
      <w:r>
        <w:rPr>
          <w:rFonts w:hint="default" w:ascii="Cambria" w:hAnsi="Cambria" w:eastAsia="Cambria" w:cs="Cambria"/>
          <w:i w:val="0"/>
          <w:iCs w:val="0"/>
          <w:caps w:val="0"/>
          <w:color w:val="212121"/>
          <w:spacing w:val="0"/>
          <w:sz w:val="24"/>
          <w:szCs w:val="24"/>
          <w:shd w:val="clear" w:fill="FFFFFF"/>
          <w:lang w:val="en-IN"/>
        </w:rPr>
        <w:t xml:space="preserve"> causing</w:t>
      </w:r>
      <w:r>
        <w:rPr>
          <w:rFonts w:hint="default" w:ascii="Cambria" w:hAnsi="Cambria" w:eastAsia="Cambria" w:cs="Cambria"/>
          <w:i w:val="0"/>
          <w:iCs w:val="0"/>
          <w:caps w:val="0"/>
          <w:color w:val="212121"/>
          <w:spacing w:val="0"/>
          <w:sz w:val="24"/>
          <w:szCs w:val="24"/>
          <w:shd w:val="clear" w:fill="FFFFFF"/>
        </w:rPr>
        <w:t xml:space="preserve"> multiorgan failure, including shock, circulatory failure, and acute respiratory distress syndrome (</w:t>
      </w:r>
      <w:r>
        <w:rPr>
          <w:rFonts w:hint="default" w:ascii="Cambria" w:hAnsi="Cambria" w:eastAsia="Cambria" w:cs="Cambria"/>
          <w:i w:val="0"/>
          <w:iCs w:val="0"/>
          <w:caps w:val="0"/>
          <w:color w:val="212121"/>
          <w:spacing w:val="0"/>
          <w:sz w:val="24"/>
          <w:szCs w:val="24"/>
          <w:shd w:val="clear" w:fill="FFFFFF"/>
          <w:lang w:val="en-IN"/>
        </w:rPr>
        <w:t>ARDS).</w:t>
      </w:r>
    </w:p>
    <w:p>
      <w:pPr>
        <w:ind w:firstLine="840" w:firstLineChars="350"/>
        <w:jc w:val="both"/>
        <w:rPr>
          <w:rFonts w:hint="default"/>
          <w:color w:val="000000" w:themeColor="text1"/>
          <w:sz w:val="24"/>
          <w:szCs w:val="24"/>
          <w:lang w:val="en-IN"/>
          <w14:textFill>
            <w14:solidFill>
              <w14:schemeClr w14:val="tx1"/>
            </w14:solidFill>
          </w14:textFill>
        </w:rPr>
      </w:pPr>
    </w:p>
    <w:p>
      <w:pPr>
        <w:jc w:val="both"/>
        <w:rPr>
          <w:rFonts w:hint="default"/>
          <w:color w:val="000000" w:themeColor="text1"/>
          <w:sz w:val="24"/>
          <w:szCs w:val="24"/>
          <w:lang w:val="en-IN"/>
          <w14:textFill>
            <w14:solidFill>
              <w14:schemeClr w14:val="tx1"/>
            </w14:solidFill>
          </w14:textFill>
        </w:rPr>
      </w:pPr>
      <w:r>
        <w:rPr>
          <w:rFonts w:hint="default"/>
          <w:color w:val="000000" w:themeColor="text1"/>
          <w:sz w:val="24"/>
          <w:szCs w:val="24"/>
          <w:lang w:val="en-IN"/>
          <w14:textFill>
            <w14:solidFill>
              <w14:schemeClr w14:val="tx1"/>
            </w14:solidFill>
          </w14:textFill>
        </w:rPr>
        <w:t>Results</w:t>
      </w:r>
    </w:p>
    <w:p>
      <w:pPr>
        <w:ind w:firstLine="840" w:firstLineChars="350"/>
        <w:jc w:val="both"/>
        <w:rPr>
          <w:rFonts w:hint="default" w:ascii="Cambria" w:hAnsi="Cambria" w:eastAsia="Cambria" w:cs="Cambria"/>
          <w:i w:val="0"/>
          <w:iCs w:val="0"/>
          <w:caps w:val="0"/>
          <w:color w:val="212121"/>
          <w:spacing w:val="0"/>
          <w:sz w:val="24"/>
          <w:szCs w:val="24"/>
          <w:shd w:val="clear" w:fill="FFFFFF"/>
        </w:rPr>
      </w:pPr>
      <w:r>
        <w:rPr>
          <w:rFonts w:hint="default" w:ascii="Times New Roman" w:hAnsi="Times New Roman" w:eastAsia="SimSun" w:cs="Times New Roman"/>
          <w:sz w:val="24"/>
          <w:szCs w:val="24"/>
        </w:rPr>
        <w:t xml:space="preserve">The onset of acute pancreatitis is sudden with epigastric abdominal pain, vomiting and collapse. </w:t>
      </w:r>
      <w:r>
        <w:rPr>
          <w:rFonts w:hint="default" w:ascii="Times New Roman" w:hAnsi="Times New Roman" w:eastAsia="SimSun" w:cs="Times New Roman"/>
          <w:i w:val="0"/>
          <w:iCs w:val="0"/>
          <w:caps w:val="0"/>
          <w:color w:val="000000"/>
          <w:spacing w:val="0"/>
          <w:sz w:val="24"/>
          <w:szCs w:val="24"/>
          <w:shd w:val="clear" w:fill="FFFFFF"/>
        </w:rPr>
        <w:t>Patients are restless and bringing their knees to their chest in an effort to alleviate the pain.</w:t>
      </w:r>
      <w:r>
        <w:rPr>
          <w:rFonts w:hint="default" w:ascii="Times New Roman" w:hAnsi="Times New Roman" w:eastAsia="SimSun" w:cs="Times New Roman"/>
          <w:i w:val="0"/>
          <w:iCs w:val="0"/>
          <w:caps w:val="0"/>
          <w:color w:val="000000"/>
          <w:spacing w:val="0"/>
          <w:sz w:val="24"/>
          <w:szCs w:val="24"/>
          <w:shd w:val="clear" w:fill="FFFFFF"/>
          <w:lang w:val="en-IN"/>
        </w:rPr>
        <w:t xml:space="preserve"> </w:t>
      </w:r>
      <w:r>
        <w:rPr>
          <w:rFonts w:hint="default" w:ascii="Times New Roman" w:hAnsi="Times New Roman" w:eastAsia="SimSun" w:cs="Times New Roman"/>
          <w:sz w:val="24"/>
          <w:szCs w:val="24"/>
        </w:rPr>
        <w:t>Marked epigastric or diffuse tenderness on palpation</w:t>
      </w:r>
      <w:r>
        <w:rPr>
          <w:rFonts w:hint="default" w:ascii="Times New Roman" w:hAnsi="Times New Roman" w:eastAsia="SimSun" w:cs="Times New Roman"/>
          <w:sz w:val="24"/>
          <w:szCs w:val="24"/>
          <w:lang w:val="en-IN"/>
        </w:rPr>
        <w:t xml:space="preserve"> and t</w:t>
      </w:r>
      <w:r>
        <w:rPr>
          <w:rFonts w:hint="default" w:ascii="Times New Roman" w:hAnsi="Times New Roman" w:eastAsia="SimSun" w:cs="Times New Roman"/>
          <w:sz w:val="24"/>
          <w:szCs w:val="24"/>
        </w:rPr>
        <w:t>he abdomen is often distended and tympanic, with bowel sounds decreased or absent in severe disease.</w:t>
      </w:r>
      <w:r>
        <w:rPr>
          <w:rFonts w:hint="default" w:ascii="Times New Roman" w:hAnsi="Times New Roman" w:eastAsia="SimSun" w:cs="Times New Roman"/>
          <w:sz w:val="24"/>
          <w:szCs w:val="24"/>
          <w:lang w:val="en-IN"/>
        </w:rPr>
        <w:t xml:space="preserve"> L</w:t>
      </w:r>
      <w:r>
        <w:rPr>
          <w:rFonts w:hint="default" w:ascii="Times New Roman" w:hAnsi="Times New Roman" w:eastAsia="SimSun" w:cs="Times New Roman"/>
          <w:sz w:val="24"/>
          <w:szCs w:val="24"/>
        </w:rPr>
        <w:t xml:space="preserve">ow grade fever </w:t>
      </w:r>
      <w:r>
        <w:rPr>
          <w:rFonts w:hint="default" w:ascii="Times New Roman" w:hAnsi="Times New Roman" w:eastAsia="SimSun" w:cs="Times New Roman"/>
          <w:sz w:val="24"/>
          <w:szCs w:val="24"/>
          <w:lang w:val="en-IN"/>
        </w:rPr>
        <w:t>is</w:t>
      </w:r>
      <w:r>
        <w:rPr>
          <w:rFonts w:hint="default" w:ascii="Times New Roman" w:hAnsi="Times New Roman" w:eastAsia="SimSun" w:cs="Times New Roman"/>
          <w:sz w:val="24"/>
          <w:szCs w:val="24"/>
        </w:rPr>
        <w:t xml:space="preserve"> often observed, especially with widespread pancreatic inflammation and necrosis.</w:t>
      </w:r>
      <w:r>
        <w:rPr>
          <w:rFonts w:hint="default" w:ascii="Times New Roman" w:hAnsi="Times New Roman" w:eastAsia="SimSun" w:cs="Times New Roman"/>
          <w:sz w:val="24"/>
          <w:szCs w:val="24"/>
          <w:lang w:val="en-IN"/>
        </w:rPr>
        <w:t xml:space="preserve"> </w:t>
      </w:r>
      <w:r>
        <w:rPr>
          <w:rFonts w:hint="default" w:ascii="Times New Roman" w:hAnsi="Times New Roman" w:eastAsia="SimSun" w:cs="Times New Roman"/>
          <w:i w:val="0"/>
          <w:iCs w:val="0"/>
          <w:caps w:val="0"/>
          <w:color w:val="000000"/>
          <w:spacing w:val="0"/>
          <w:sz w:val="24"/>
          <w:szCs w:val="24"/>
          <w:shd w:val="clear" w:fill="FFFFFF"/>
        </w:rPr>
        <w:t xml:space="preserve">Jaundice is a common finding. </w:t>
      </w:r>
      <w:r>
        <w:rPr>
          <w:rFonts w:hint="default" w:ascii="Cambria" w:hAnsi="Cambria" w:eastAsia="Cambria" w:cs="Cambria"/>
          <w:i w:val="0"/>
          <w:iCs w:val="0"/>
          <w:caps w:val="0"/>
          <w:color w:val="212121"/>
          <w:spacing w:val="0"/>
          <w:sz w:val="24"/>
          <w:szCs w:val="24"/>
          <w:shd w:val="clear" w:fill="FFFFFF"/>
        </w:rPr>
        <w:t xml:space="preserve">Infants and toddlers cannot verbalize abdominal pain, but vomiting, irritability, and lethargy are common. In severe </w:t>
      </w:r>
      <w:r>
        <w:rPr>
          <w:rFonts w:hint="default" w:ascii="Cambria" w:hAnsi="Cambria" w:eastAsia="Cambria" w:cs="Cambria"/>
          <w:i w:val="0"/>
          <w:iCs w:val="0"/>
          <w:caps w:val="0"/>
          <w:color w:val="212121"/>
          <w:spacing w:val="0"/>
          <w:sz w:val="24"/>
          <w:szCs w:val="24"/>
          <w:shd w:val="clear" w:fill="FFFFFF"/>
          <w:lang w:val="en-IN"/>
        </w:rPr>
        <w:t>cases</w:t>
      </w:r>
      <w:r>
        <w:rPr>
          <w:rFonts w:hint="default" w:ascii="Cambria" w:hAnsi="Cambria" w:eastAsia="Cambria" w:cs="Cambria"/>
          <w:i w:val="0"/>
          <w:iCs w:val="0"/>
          <w:caps w:val="0"/>
          <w:color w:val="212121"/>
          <w:spacing w:val="0"/>
          <w:sz w:val="24"/>
          <w:szCs w:val="24"/>
          <w:shd w:val="clear" w:fill="FFFFFF"/>
        </w:rPr>
        <w:t>, children may initially present with shock, followed by symptoms of multiorgan failure, including dyspnea, oliguria, hemorrhage, and mental status changes</w:t>
      </w:r>
    </w:p>
    <w:p>
      <w:pPr>
        <w:ind w:firstLine="840" w:firstLineChars="350"/>
        <w:jc w:val="both"/>
        <w:rPr>
          <w:rFonts w:hint="default" w:ascii="Cambria" w:hAnsi="Cambria" w:eastAsia="Cambria" w:cs="Cambria"/>
          <w:i w:val="0"/>
          <w:iCs w:val="0"/>
          <w:caps w:val="0"/>
          <w:color w:val="212121"/>
          <w:spacing w:val="0"/>
          <w:sz w:val="24"/>
          <w:szCs w:val="24"/>
          <w:shd w:val="clear" w:fill="FFFFFF"/>
        </w:rPr>
      </w:pPr>
    </w:p>
    <w:p>
      <w:pPr>
        <w:jc w:val="both"/>
        <w:rPr>
          <w:rFonts w:hint="default" w:ascii="Cambria" w:hAnsi="Cambria" w:eastAsia="Cambria" w:cs="Cambria"/>
          <w:i w:val="0"/>
          <w:iCs w:val="0"/>
          <w:caps w:val="0"/>
          <w:color w:val="212121"/>
          <w:spacing w:val="0"/>
          <w:sz w:val="24"/>
          <w:szCs w:val="24"/>
          <w:shd w:val="clear" w:fill="FFFFFF"/>
          <w:lang w:val="en-IN"/>
        </w:rPr>
      </w:pPr>
      <w:r>
        <w:rPr>
          <w:rFonts w:hint="default" w:ascii="Cambria" w:hAnsi="Cambria" w:eastAsia="Cambria" w:cs="Cambria"/>
          <w:i w:val="0"/>
          <w:iCs w:val="0"/>
          <w:caps w:val="0"/>
          <w:color w:val="212121"/>
          <w:spacing w:val="0"/>
          <w:sz w:val="24"/>
          <w:szCs w:val="24"/>
          <w:shd w:val="clear" w:fill="FFFFFF"/>
          <w:lang w:val="en-IN"/>
        </w:rPr>
        <w:t>Conclusion</w:t>
      </w:r>
    </w:p>
    <w:p>
      <w:pPr>
        <w:jc w:val="both"/>
        <w:rPr>
          <w:rFonts w:hint="default" w:ascii="Cambria" w:hAnsi="Cambria" w:eastAsia="Cambria" w:cs="Cambria"/>
          <w:i w:val="0"/>
          <w:iCs w:val="0"/>
          <w:caps w:val="0"/>
          <w:color w:val="212121"/>
          <w:spacing w:val="0"/>
          <w:sz w:val="24"/>
          <w:szCs w:val="24"/>
          <w:shd w:val="clear" w:fill="FFFFFF"/>
          <w:lang w:val="en-IN"/>
        </w:rPr>
      </w:pPr>
    </w:p>
    <w:p>
      <w:pPr>
        <w:ind w:firstLine="960" w:firstLineChars="400"/>
        <w:jc w:val="both"/>
        <w:rPr>
          <w:rFonts w:ascii="Times New Roman" w:hAnsi="Times New Roman" w:cs="Times New Roman"/>
          <w:color w:val="000000" w:themeColor="text1"/>
          <w:sz w:val="24"/>
          <w:szCs w:val="24"/>
          <w14:textFill>
            <w14:solidFill>
              <w14:schemeClr w14:val="tx1"/>
            </w14:solidFill>
          </w14:textFill>
        </w:rPr>
      </w:pPr>
      <w:r>
        <w:rPr>
          <w:rFonts w:hint="default" w:ascii="Cambria" w:hAnsi="Cambria" w:eastAsia="Cambria" w:cs="Cambria"/>
          <w:i w:val="0"/>
          <w:iCs w:val="0"/>
          <w:caps w:val="0"/>
          <w:color w:val="212121"/>
          <w:spacing w:val="0"/>
          <w:sz w:val="24"/>
          <w:szCs w:val="24"/>
          <w:shd w:val="clear" w:fill="FFFFFF"/>
        </w:rPr>
        <w:t>The initial treatment for acute pancreatitis is to withhold oral intake of food or fluid to allow the pancreas to rest (</w:t>
      </w:r>
      <w:r>
        <w:rPr>
          <w:rStyle w:val="4"/>
          <w:rFonts w:hint="default" w:ascii="Cambria" w:hAnsi="Cambria" w:eastAsia="Cambria" w:cs="Cambria"/>
          <w:caps w:val="0"/>
          <w:color w:val="212121"/>
          <w:spacing w:val="0"/>
          <w:sz w:val="24"/>
          <w:szCs w:val="24"/>
          <w:shd w:val="clear" w:fill="FFFFFF"/>
        </w:rPr>
        <w:t>i.e</w:t>
      </w:r>
      <w:r>
        <w:rPr>
          <w:rFonts w:hint="default" w:ascii="Cambria" w:hAnsi="Cambria" w:eastAsia="Cambria" w:cs="Cambria"/>
          <w:i w:val="0"/>
          <w:iCs w:val="0"/>
          <w:caps w:val="0"/>
          <w:color w:val="212121"/>
          <w:spacing w:val="0"/>
          <w:sz w:val="24"/>
          <w:szCs w:val="24"/>
          <w:shd w:val="clear" w:fill="FFFFFF"/>
        </w:rPr>
        <w:t>., prevent stimulation of pancreatic exocrine secretions)</w:t>
      </w:r>
      <w:r>
        <w:rPr>
          <w:rFonts w:hint="default" w:ascii="Cambria" w:hAnsi="Cambria" w:eastAsia="Cambria" w:cs="Cambria"/>
          <w:i w:val="0"/>
          <w:iCs w:val="0"/>
          <w:caps w:val="0"/>
          <w:color w:val="212121"/>
          <w:spacing w:val="0"/>
          <w:sz w:val="24"/>
          <w:szCs w:val="24"/>
          <w:shd w:val="clear" w:fill="FFFFFF"/>
          <w:lang w:val="en-IN"/>
        </w:rPr>
        <w:t xml:space="preserve"> and</w:t>
      </w:r>
      <w:r>
        <w:rPr>
          <w:rFonts w:ascii="Times New Roman" w:hAnsi="Times New Roman" w:cs="Times New Roman"/>
          <w:color w:val="000000" w:themeColor="text1"/>
          <w:sz w:val="24"/>
          <w:szCs w:val="24"/>
          <w14:textFill>
            <w14:solidFill>
              <w14:schemeClr w14:val="tx1"/>
            </w14:solidFill>
          </w14:textFill>
        </w:rPr>
        <w:t xml:space="preserve"> IV fluids to prevent dehydration and pain medications.  </w:t>
      </w:r>
      <w:r>
        <w:rPr>
          <w:rFonts w:hint="default" w:ascii="Times New Roman" w:hAnsi="Times New Roman" w:cs="Times New Roman"/>
          <w:color w:val="000000" w:themeColor="text1"/>
          <w:sz w:val="24"/>
          <w:szCs w:val="24"/>
          <w:lang w:val="en-IN"/>
          <w14:textFill>
            <w14:solidFill>
              <w14:schemeClr w14:val="tx1"/>
            </w14:solidFill>
          </w14:textFill>
        </w:rPr>
        <w:t>E</w:t>
      </w:r>
      <w:r>
        <w:rPr>
          <w:rFonts w:ascii="Times New Roman" w:hAnsi="Times New Roman" w:cs="Times New Roman"/>
          <w:color w:val="000000" w:themeColor="text1"/>
          <w:sz w:val="24"/>
          <w:szCs w:val="24"/>
          <w14:textFill>
            <w14:solidFill>
              <w14:schemeClr w14:val="tx1"/>
            </w14:solidFill>
          </w14:textFill>
        </w:rPr>
        <w:t>arly intravenous hydration during the first 12 to 24 hours with close monitoring is of paramount importance to maintain pancreatic and intestinal microcirculation to prevent intestinal ischemia and subsequent bacterial translocation to</w:t>
      </w:r>
      <w:r>
        <w:rPr>
          <w:rFonts w:hint="default" w:ascii="Times New Roman" w:hAnsi="Times New Roman" w:cs="Times New Roman"/>
          <w:color w:val="000000" w:themeColor="text1"/>
          <w:sz w:val="24"/>
          <w:szCs w:val="24"/>
          <w:lang w:val="en-IN"/>
          <w14:textFill>
            <w14:solidFill>
              <w14:schemeClr w14:val="tx1"/>
            </w14:solidFill>
          </w14:textFill>
        </w:rPr>
        <w:t xml:space="preserve"> avoid</w:t>
      </w:r>
      <w:r>
        <w:rPr>
          <w:rFonts w:ascii="Times New Roman" w:hAnsi="Times New Roman" w:cs="Times New Roman"/>
          <w:color w:val="000000" w:themeColor="text1"/>
          <w:sz w:val="24"/>
          <w:szCs w:val="24"/>
          <w14:textFill>
            <w14:solidFill>
              <w14:schemeClr w14:val="tx1"/>
            </w14:solidFill>
          </w14:textFill>
        </w:rPr>
        <w:t xml:space="preserve"> severe complications such as pancreatic necrosis  and to minimize SIRS (systemic inflammatory response syndrome) to reduce the rate of organ failure, morbidity and death. Movement of fluid into the intracellular space (“third spacing”) occurs in acute pancreatitis and fluid resuscitation exacerbates</w:t>
      </w:r>
      <w:r>
        <w:rPr>
          <w:rFonts w:hint="default" w:ascii="Times New Roman" w:hAnsi="Times New Roman" w:cs="Times New Roman"/>
          <w:color w:val="000000" w:themeColor="text1"/>
          <w:sz w:val="24"/>
          <w:szCs w:val="24"/>
          <w:lang w:val="en-IN"/>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it.The intraabdominal hypertension (sustained intraabdominal pressure &gt; 12 mmHg) is associated with poor outcome. It should be monitored with transvescicular bladder measurements in those patients on mechanical ventilation and managed with ultrafiltration.  </w:t>
      </w:r>
    </w:p>
    <w:p>
      <w:pPr>
        <w:ind w:firstLine="600" w:firstLineChars="25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Enteral nutrition is recommended to prevent gut failure and infectious complications.Enteral feeding maintains the gut mucosal barrier and prevents its disruption and translocation of bacteria that seed pancreatic necrosis. Jejunal feeding is advocated if gastric feeding fails  as a result of duodenal ileus or obstruction from inflammatory masses  and there is some evidence of superiority of ‘distal jejunal feeding’ in acute pancreatitis. Total parenteral nutrition (TPN) should be considered only for patients who do not tolerate enteral feeding because of severe ileus since it is associated with infection and line-related complications.</w:t>
      </w:r>
    </w:p>
    <w:p>
      <w:pPr>
        <w:ind w:firstLine="600" w:firstLineChars="250"/>
        <w:jc w:val="both"/>
        <w:rPr>
          <w:color w:val="000000" w:themeColor="text1"/>
          <w:sz w:val="24"/>
          <w:szCs w:val="24"/>
          <w:highlight w:val="none"/>
          <w14:textFill>
            <w14:solidFill>
              <w14:schemeClr w14:val="tx1"/>
            </w14:solidFill>
          </w14:textFill>
        </w:rPr>
      </w:pPr>
      <w:r>
        <w:rPr>
          <w:rFonts w:hint="default" w:ascii="Cambria" w:hAnsi="Cambria" w:eastAsia="Cambria" w:cs="Cambria"/>
          <w:i w:val="0"/>
          <w:iCs w:val="0"/>
          <w:caps w:val="0"/>
          <w:color w:val="212121"/>
          <w:spacing w:val="0"/>
          <w:sz w:val="24"/>
          <w:szCs w:val="24"/>
          <w:shd w:val="clear" w:fill="FFFFFF"/>
        </w:rPr>
        <w:t>In mild cases of acute pancreatitis, the incidence of infectious complications and mortality rates are low, and prophylactic antibiotics are usually not necessary. However, even in mild cases, antibiotics should be considered if severity increases or complications like cholangitis develop. In severe cases, antibiotics can reduce infectious pancreatitis complications and improve the prognosis. Drugs should be selected with good tissue distribution to the pancreas.</w:t>
      </w:r>
      <w:r>
        <w:rPr>
          <w:rFonts w:ascii="Minion Pro Capt" w:hAnsi="Minion Pro Capt"/>
          <w:sz w:val="24"/>
          <w:szCs w:val="24"/>
          <w:lang w:eastAsia="zh-CN"/>
        </w:rPr>
        <w:t xml:space="preserve"> Oral pancreatic enzyme supplements which inhibit pancreatic enzyme secretion may be beneficial for pain control, especially in idiopathic chronic pancreatitis</w:t>
      </w:r>
      <w:r>
        <w:rPr>
          <w:rFonts w:hint="default" w:ascii="Minion Pro Capt" w:hAnsi="Minion Pro Capt"/>
          <w:sz w:val="24"/>
          <w:szCs w:val="24"/>
          <w:lang w:val="en-IN" w:eastAsia="zh-CN"/>
        </w:rPr>
        <w:t>.</w:t>
      </w:r>
      <w:r>
        <w:rPr>
          <w:rFonts w:hint="default" w:ascii="Times New Roman" w:hAnsi="Times New Roman" w:eastAsia="SimSun" w:cs="Times New Roman"/>
          <w:i w:val="0"/>
          <w:iCs w:val="0"/>
          <w:caps w:val="0"/>
          <w:color w:val="000000"/>
          <w:spacing w:val="0"/>
          <w:sz w:val="24"/>
          <w:szCs w:val="24"/>
          <w:shd w:val="clear" w:fill="FFFFFF"/>
        </w:rPr>
        <w:t>Omega-3 fatty-acid products show promise as adjunctive agents in refractory cases</w:t>
      </w:r>
      <w:r>
        <w:rPr>
          <w:rFonts w:hint="default" w:ascii="Times New Roman" w:hAnsi="Times New Roman" w:eastAsia="SimSun" w:cs="Times New Roman"/>
          <w:i w:val="0"/>
          <w:iCs w:val="0"/>
          <w:caps w:val="0"/>
          <w:color w:val="000000"/>
          <w:spacing w:val="0"/>
          <w:sz w:val="24"/>
          <w:szCs w:val="24"/>
          <w:shd w:val="clear" w:fill="FFFFFF"/>
          <w:lang w:val="en-IN"/>
        </w:rPr>
        <w:t xml:space="preserve"> in patients with elevated triglyceride levels.</w:t>
      </w:r>
      <w:r>
        <w:rPr>
          <w:rFonts w:ascii="Minion Pro Capt" w:hAnsi="Minion Pro Capt"/>
          <w:sz w:val="24"/>
          <w:szCs w:val="24"/>
          <w:lang w:eastAsia="zh-CN"/>
        </w:rPr>
        <w:t xml:space="preserve"> </w:t>
      </w:r>
    </w:p>
    <w:p>
      <w:pPr>
        <w:ind w:firstLine="600" w:firstLineChars="250"/>
        <w:jc w:val="both"/>
        <w:rPr>
          <w:color w:val="000000" w:themeColor="text1"/>
          <w:sz w:val="24"/>
          <w:szCs w:val="24"/>
          <w:highlight w:val="none"/>
          <w14:textFill>
            <w14:solidFill>
              <w14:schemeClr w14:val="tx1"/>
            </w14:solidFill>
          </w14:textFill>
        </w:rPr>
      </w:pPr>
    </w:p>
    <w:p>
      <w:pPr>
        <w:ind w:firstLine="600" w:firstLineChars="250"/>
        <w:jc w:val="both"/>
        <w:rPr>
          <w:rFonts w:hint="default"/>
          <w:color w:val="000000" w:themeColor="text1"/>
          <w:sz w:val="24"/>
          <w:szCs w:val="24"/>
          <w:highlight w:val="none"/>
          <w:lang w:val="en-IN"/>
          <w14:textFill>
            <w14:solidFill>
              <w14:schemeClr w14:val="tx1"/>
            </w14:solidFill>
          </w14:textFill>
        </w:rPr>
      </w:pPr>
      <w:r>
        <w:rPr>
          <w:rFonts w:hint="default" w:ascii="Cambria" w:hAnsi="Cambria" w:eastAsia="Cambria" w:cs="Cambria"/>
          <w:i w:val="0"/>
          <w:iCs w:val="0"/>
          <w:caps w:val="0"/>
          <w:color w:val="212121"/>
          <w:spacing w:val="0"/>
          <w:sz w:val="24"/>
          <w:szCs w:val="24"/>
          <w:shd w:val="clear" w:fill="FFFFFF"/>
        </w:rPr>
        <w:t>Anatomic anomalies such as abnormal union of the pancreatobiliary junction are an indication for surgery. In patients with outflow tract obstruction of pancreatic juices caused by ampulla of Vater anomalies or pancreatic divisum, endoscopic sphincterotomy is effective.</w:t>
      </w:r>
      <w:r>
        <w:rPr>
          <w:rFonts w:hint="default" w:ascii="Cambria" w:hAnsi="Cambria" w:eastAsia="Cambria" w:cs="Cambria"/>
          <w:i w:val="0"/>
          <w:iCs w:val="0"/>
          <w:caps w:val="0"/>
          <w:color w:val="212121"/>
          <w:spacing w:val="0"/>
          <w:sz w:val="24"/>
          <w:szCs w:val="24"/>
          <w:shd w:val="clear" w:fill="FFFFFF"/>
          <w:lang w:val="en-IN"/>
        </w:rPr>
        <w:t xml:space="preserve"> </w:t>
      </w:r>
    </w:p>
    <w:p>
      <w:pPr>
        <w:ind w:firstLine="700" w:firstLineChars="250"/>
        <w:jc w:val="both"/>
        <w:rPr>
          <w:color w:val="000000" w:themeColor="text1"/>
          <w:sz w:val="24"/>
          <w:szCs w:val="24"/>
          <w:highlight w:val="none"/>
          <w:lang w:eastAsia="zh-CN"/>
          <w14:textFill>
            <w14:solidFill>
              <w14:schemeClr w14:val="tx1"/>
            </w14:solidFill>
          </w14:textFill>
        </w:rPr>
      </w:pPr>
      <w:r>
        <w:rPr>
          <w:rFonts w:hint="default"/>
          <w:sz w:val="28"/>
          <w:szCs w:val="28"/>
          <w:lang w:val="en-IN"/>
        </w:rPr>
        <w:drawing>
          <wp:anchor distT="0" distB="0" distL="114300" distR="114300" simplePos="0" relativeHeight="251660288" behindDoc="0" locked="0" layoutInCell="1" allowOverlap="1">
            <wp:simplePos x="0" y="0"/>
            <wp:positionH relativeFrom="column">
              <wp:posOffset>3822700</wp:posOffset>
            </wp:positionH>
            <wp:positionV relativeFrom="paragraph">
              <wp:posOffset>37465</wp:posOffset>
            </wp:positionV>
            <wp:extent cx="1032510" cy="1080135"/>
            <wp:effectExtent l="0" t="0" r="15240" b="5715"/>
            <wp:wrapSquare wrapText="bothSides"/>
            <wp:docPr id="3" name="Picture 3" descr="Phjot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hjoto 1"/>
                    <pic:cNvPicPr>
                      <a:picLocks noChangeAspect="1"/>
                    </pic:cNvPicPr>
                  </pic:nvPicPr>
                  <pic:blipFill>
                    <a:blip r:embed="rId5"/>
                    <a:stretch>
                      <a:fillRect/>
                    </a:stretch>
                  </pic:blipFill>
                  <pic:spPr>
                    <a:xfrm>
                      <a:off x="0" y="0"/>
                      <a:ext cx="1032510" cy="1080135"/>
                    </a:xfrm>
                    <a:prstGeom prst="rect">
                      <a:avLst/>
                    </a:prstGeom>
                  </pic:spPr>
                </pic:pic>
              </a:graphicData>
            </a:graphic>
          </wp:anchor>
        </w:drawing>
      </w:r>
    </w:p>
    <w:p>
      <w:pPr>
        <w:ind w:firstLine="600" w:firstLineChars="250"/>
        <w:jc w:val="both"/>
        <w:rPr>
          <w:rFonts w:ascii="Minion Pro Capt" w:hAnsi="Minion Pro Capt"/>
          <w:sz w:val="24"/>
          <w:szCs w:val="24"/>
          <w:lang w:eastAsia="zh-CN"/>
        </w:rPr>
      </w:pPr>
    </w:p>
    <w:p>
      <w:pPr>
        <w:ind w:firstLine="600" w:firstLineChars="250"/>
        <w:jc w:val="both"/>
        <w:rPr>
          <w:rFonts w:ascii="Minion Pro Capt" w:hAnsi="Minion Pro Capt"/>
          <w:sz w:val="24"/>
          <w:szCs w:val="24"/>
          <w:lang w:eastAsia="zh-CN"/>
        </w:rPr>
      </w:pPr>
    </w:p>
    <w:p>
      <w:pPr>
        <w:ind w:firstLine="600" w:firstLineChars="250"/>
        <w:jc w:val="both"/>
        <w:rPr>
          <w:rFonts w:ascii="Minion Pro Capt" w:hAnsi="Minion Pro Capt"/>
          <w:sz w:val="24"/>
          <w:szCs w:val="24"/>
          <w:lang w:eastAsia="zh-CN"/>
        </w:rPr>
      </w:pPr>
    </w:p>
    <w:p>
      <w:pPr>
        <w:ind w:firstLine="600" w:firstLineChars="250"/>
        <w:jc w:val="both"/>
        <w:rPr>
          <w:rFonts w:ascii="Minion Pro Capt" w:hAnsi="Minion Pro Capt"/>
          <w:sz w:val="24"/>
          <w:szCs w:val="24"/>
          <w:lang w:eastAsia="zh-CN"/>
        </w:rPr>
      </w:pPr>
    </w:p>
    <w:p>
      <w:pPr>
        <w:jc w:val="both"/>
        <w:rPr>
          <w:rFonts w:ascii="Minion Pro Capt" w:hAnsi="Minion Pro Capt"/>
          <w:sz w:val="24"/>
          <w:szCs w:val="24"/>
          <w:lang w:eastAsia="zh-CN"/>
        </w:rPr>
      </w:pPr>
    </w:p>
    <w:p>
      <w:pPr>
        <w:ind w:firstLine="600" w:firstLineChars="250"/>
        <w:jc w:val="both"/>
        <w:rPr>
          <w:rFonts w:hint="default" w:ascii="Minion Pro Capt" w:hAnsi="Minion Pro Capt"/>
          <w:sz w:val="24"/>
          <w:szCs w:val="24"/>
          <w:lang w:val="en-IN" w:eastAsia="zh-CN"/>
        </w:rPr>
      </w:pPr>
    </w:p>
    <w:p>
      <w:pPr>
        <w:jc w:val="both"/>
        <w:rPr>
          <w:b/>
          <w:bCs/>
          <w:sz w:val="24"/>
          <w:szCs w:val="24"/>
        </w:rPr>
      </w:pPr>
      <w:r>
        <w:rPr>
          <w:b/>
          <w:bCs/>
          <w:sz w:val="24"/>
          <w:szCs w:val="24"/>
        </w:rPr>
        <w:t>Biography</w:t>
      </w:r>
    </w:p>
    <w:p>
      <w:pPr>
        <w:jc w:val="both"/>
        <w:rPr>
          <w:sz w:val="24"/>
          <w:szCs w:val="24"/>
        </w:rPr>
      </w:pPr>
      <w:r>
        <w:rPr>
          <w:sz w:val="24"/>
          <w:szCs w:val="24"/>
        </w:rPr>
        <w:t xml:space="preserve"> Ramachandran Muthiah, Consultant</w:t>
      </w:r>
      <w:r>
        <w:rPr>
          <w:rFonts w:hint="default"/>
          <w:sz w:val="24"/>
          <w:szCs w:val="24"/>
          <w:lang w:val="en-IN"/>
        </w:rPr>
        <w:t xml:space="preserve"> at</w:t>
      </w:r>
      <w:r>
        <w:rPr>
          <w:sz w:val="24"/>
          <w:szCs w:val="24"/>
        </w:rPr>
        <w:t xml:space="preserve"> Zion hospital, Azhagiamandapam</w:t>
      </w:r>
      <w:r>
        <w:rPr>
          <w:rFonts w:hint="default"/>
          <w:sz w:val="24"/>
          <w:szCs w:val="24"/>
          <w:lang w:val="en-IN"/>
        </w:rPr>
        <w:t xml:space="preserve"> and </w:t>
      </w:r>
      <w:r>
        <w:rPr>
          <w:sz w:val="24"/>
          <w:szCs w:val="24"/>
        </w:rPr>
        <w:t>Morning Star hospital, Marthandam, Kanyakumari District, India.</w:t>
      </w:r>
      <w:r>
        <w:rPr>
          <w:rFonts w:hint="default"/>
          <w:sz w:val="24"/>
          <w:szCs w:val="24"/>
          <w:lang w:val="en-IN"/>
        </w:rPr>
        <w:t xml:space="preserve">. Completed primary  education at Anaan vilai in keezhkulam and secondary education at Concordia Higher secondary school, Pootteti. MBBS in 1988 (Madurai Kamaraj), </w:t>
      </w:r>
      <w:r>
        <w:rPr>
          <w:sz w:val="24"/>
          <w:szCs w:val="24"/>
        </w:rPr>
        <w:t xml:space="preserve">M.D. in 1996, D.M. in 2003 </w:t>
      </w:r>
      <w:r>
        <w:rPr>
          <w:rFonts w:hint="default"/>
          <w:sz w:val="24"/>
          <w:szCs w:val="24"/>
          <w:lang w:val="en-IN"/>
        </w:rPr>
        <w:t>(</w:t>
      </w:r>
      <w:r>
        <w:rPr>
          <w:sz w:val="24"/>
          <w:szCs w:val="24"/>
        </w:rPr>
        <w:t>Dr.MGR Medical University, Chennai</w:t>
      </w:r>
      <w:r>
        <w:rPr>
          <w:rFonts w:hint="default"/>
          <w:sz w:val="24"/>
          <w:szCs w:val="24"/>
          <w:lang w:val="en-IN"/>
        </w:rPr>
        <w:t xml:space="preserve">), 6 months course in Interventional cardiology at Batra Hospital, New Delhi in 2006 ( Ministry of health, Govt of India). </w:t>
      </w:r>
      <w:r>
        <w:rPr>
          <w:sz w:val="24"/>
          <w:szCs w:val="24"/>
        </w:rPr>
        <w:t xml:space="preserve">Worked as medical officer in Rural health services for 5 years </w:t>
      </w:r>
      <w:r>
        <w:rPr>
          <w:rFonts w:hint="default"/>
          <w:sz w:val="24"/>
          <w:szCs w:val="24"/>
          <w:lang w:val="en-IN"/>
        </w:rPr>
        <w:t>(keezhachekkarakudi, Aryappapuram Primary health centres, ESI hospital, Singanallur, coimbatore),</w:t>
      </w:r>
      <w:r>
        <w:rPr>
          <w:sz w:val="24"/>
          <w:szCs w:val="24"/>
        </w:rPr>
        <w:t xml:space="preserve"> teaching category as Assistant Professor at Madras, Coimbatore</w:t>
      </w:r>
      <w:r>
        <w:rPr>
          <w:rFonts w:hint="default"/>
          <w:sz w:val="24"/>
          <w:szCs w:val="24"/>
          <w:lang w:val="en-IN"/>
        </w:rPr>
        <w:t xml:space="preserve"> and</w:t>
      </w:r>
      <w:r>
        <w:rPr>
          <w:sz w:val="24"/>
          <w:szCs w:val="24"/>
        </w:rPr>
        <w:t xml:space="preserve"> Thoothukudi medical college</w:t>
      </w:r>
      <w:r>
        <w:rPr>
          <w:rFonts w:hint="default"/>
          <w:sz w:val="24"/>
          <w:szCs w:val="24"/>
          <w:lang w:val="en-IN"/>
        </w:rPr>
        <w:t xml:space="preserve">s. </w:t>
      </w:r>
      <w:r>
        <w:rPr>
          <w:sz w:val="24"/>
          <w:szCs w:val="24"/>
        </w:rPr>
        <w:t>Published papers in Cardiosource, American College of Cardiology Foundation, Case Reports in Clinical Medicine (SCIRP) and Journal of Saudi Heart Association.</w:t>
      </w:r>
    </w:p>
    <w:p>
      <w:pPr>
        <w:jc w:val="both"/>
        <w:rPr>
          <w:sz w:val="24"/>
          <w:szCs w:val="24"/>
        </w:rPr>
      </w:pPr>
    </w:p>
    <w:p>
      <w:pPr>
        <w:jc w:val="both"/>
        <w:rPr>
          <w:sz w:val="24"/>
          <w:szCs w:val="24"/>
        </w:rPr>
      </w:pPr>
      <w:r>
        <w:rPr>
          <w:rFonts w:hint="default"/>
          <w:sz w:val="24"/>
          <w:szCs w:val="24"/>
          <w:lang w:val="en-IN"/>
        </w:rPr>
        <w:t>References</w:t>
      </w:r>
    </w:p>
    <w:p>
      <w:pPr>
        <w:jc w:val="both"/>
        <w:rPr>
          <w:sz w:val="24"/>
          <w:szCs w:val="24"/>
        </w:rPr>
      </w:pPr>
    </w:p>
    <w:p>
      <w:pPr>
        <w:numPr>
          <w:ilvl w:val="0"/>
          <w:numId w:val="1"/>
        </w:numPr>
        <w:jc w:val="both"/>
        <w:rPr>
          <w:rFonts w:hint="default" w:ascii="Cambria" w:hAnsi="Cambria" w:eastAsia="Cambria" w:cs="Cambria"/>
          <w:i w:val="0"/>
          <w:iCs w:val="0"/>
          <w:caps w:val="0"/>
          <w:color w:val="212121"/>
          <w:spacing w:val="0"/>
          <w:sz w:val="26"/>
          <w:szCs w:val="26"/>
          <w:shd w:val="clear" w:fill="FFFFFF"/>
        </w:rPr>
      </w:pPr>
      <w:r>
        <w:rPr>
          <w:rFonts w:hint="default" w:ascii="Cambria" w:hAnsi="Cambria" w:eastAsia="Cambria" w:cs="Cambria"/>
          <w:i w:val="0"/>
          <w:iCs w:val="0"/>
          <w:caps w:val="0"/>
          <w:color w:val="212121"/>
          <w:spacing w:val="0"/>
          <w:sz w:val="26"/>
          <w:szCs w:val="26"/>
          <w:shd w:val="clear" w:fill="FFFFFF"/>
        </w:rPr>
        <w:t>Childhood pancreatitis</w:t>
      </w:r>
      <w:r>
        <w:rPr>
          <w:rFonts w:hint="default" w:ascii="Cambria" w:hAnsi="Cambria" w:eastAsia="Cambria" w:cs="Cambria"/>
          <w:i w:val="0"/>
          <w:iCs w:val="0"/>
          <w:caps w:val="0"/>
          <w:color w:val="212121"/>
          <w:spacing w:val="0"/>
          <w:sz w:val="26"/>
          <w:szCs w:val="26"/>
          <w:shd w:val="clear" w:fill="FFFFFF"/>
          <w:lang w:val="en-IN"/>
        </w:rPr>
        <w:t xml:space="preserve">, </w:t>
      </w:r>
      <w:r>
        <w:rPr>
          <w:rFonts w:hint="default" w:ascii="Cambria" w:hAnsi="Cambria" w:eastAsia="Cambria" w:cs="Cambria"/>
          <w:i w:val="0"/>
          <w:iCs w:val="0"/>
          <w:caps w:val="0"/>
          <w:color w:val="212121"/>
          <w:spacing w:val="0"/>
          <w:sz w:val="26"/>
          <w:szCs w:val="26"/>
          <w:shd w:val="clear" w:fill="FFFFFF"/>
        </w:rPr>
        <w:t>Nydegger A, Couper RT, Oliver MR. . J Gastroenterol Hepatol. 2006;</w:t>
      </w:r>
      <w:r>
        <w:rPr>
          <w:rFonts w:hint="default" w:ascii="Cambria" w:hAnsi="Cambria" w:eastAsia="Cambria" w:cs="Cambria"/>
          <w:b/>
          <w:bCs/>
          <w:i w:val="0"/>
          <w:iCs w:val="0"/>
          <w:caps w:val="0"/>
          <w:color w:val="212121"/>
          <w:spacing w:val="0"/>
          <w:sz w:val="26"/>
          <w:szCs w:val="26"/>
          <w:shd w:val="clear" w:fill="FFFFFF"/>
        </w:rPr>
        <w:t>21</w:t>
      </w:r>
      <w:r>
        <w:rPr>
          <w:rFonts w:hint="default" w:ascii="Cambria" w:hAnsi="Cambria" w:eastAsia="Cambria" w:cs="Cambria"/>
          <w:i w:val="0"/>
          <w:iCs w:val="0"/>
          <w:caps w:val="0"/>
          <w:color w:val="212121"/>
          <w:spacing w:val="0"/>
          <w:sz w:val="26"/>
          <w:szCs w:val="26"/>
          <w:shd w:val="clear" w:fill="FFFFFF"/>
        </w:rPr>
        <w:t>:499–509</w:t>
      </w:r>
    </w:p>
    <w:p>
      <w:pPr>
        <w:numPr>
          <w:numId w:val="0"/>
        </w:numPr>
        <w:jc w:val="both"/>
        <w:rPr>
          <w:rFonts w:hint="default" w:ascii="Cambria" w:hAnsi="Cambria" w:eastAsia="Cambria" w:cs="Cambria"/>
          <w:i w:val="0"/>
          <w:iCs w:val="0"/>
          <w:caps w:val="0"/>
          <w:color w:val="212121"/>
          <w:spacing w:val="0"/>
          <w:sz w:val="26"/>
          <w:szCs w:val="26"/>
          <w:shd w:val="clear" w:fill="FFFFFF"/>
        </w:rPr>
      </w:pPr>
    </w:p>
    <w:p>
      <w:pPr>
        <w:numPr>
          <w:ilvl w:val="0"/>
          <w:numId w:val="1"/>
        </w:numPr>
        <w:jc w:val="both"/>
        <w:rPr>
          <w:rFonts w:hint="default" w:ascii="Cambria" w:hAnsi="Cambria" w:eastAsia="Cambria" w:cs="Cambria"/>
          <w:i w:val="0"/>
          <w:iCs w:val="0"/>
          <w:caps w:val="0"/>
          <w:color w:val="212121"/>
          <w:spacing w:val="0"/>
          <w:sz w:val="26"/>
          <w:szCs w:val="26"/>
          <w:shd w:val="clear" w:fill="FFFFFF"/>
        </w:rPr>
      </w:pPr>
      <w:r>
        <w:rPr>
          <w:rFonts w:hint="default" w:ascii="Cambria" w:hAnsi="Cambria" w:eastAsia="Cambria" w:cs="Cambria"/>
          <w:i w:val="0"/>
          <w:iCs w:val="0"/>
          <w:caps w:val="0"/>
          <w:color w:val="212121"/>
          <w:spacing w:val="0"/>
          <w:sz w:val="26"/>
          <w:szCs w:val="26"/>
          <w:shd w:val="clear" w:fill="FFFFFF"/>
        </w:rPr>
        <w:t>Acute necrotizing pancreatitis in children</w:t>
      </w:r>
      <w:r>
        <w:rPr>
          <w:rFonts w:hint="default" w:ascii="Cambria" w:hAnsi="Cambria" w:eastAsia="Cambria" w:cs="Cambria"/>
          <w:i w:val="0"/>
          <w:iCs w:val="0"/>
          <w:caps w:val="0"/>
          <w:color w:val="212121"/>
          <w:spacing w:val="0"/>
          <w:sz w:val="26"/>
          <w:szCs w:val="26"/>
          <w:shd w:val="clear" w:fill="FFFFFF"/>
          <w:lang w:val="en-IN"/>
        </w:rPr>
        <w:t>-</w:t>
      </w:r>
      <w:r>
        <w:rPr>
          <w:rFonts w:hint="default" w:ascii="Cambria" w:hAnsi="Cambria" w:eastAsia="Cambria" w:cs="Cambria"/>
          <w:i w:val="0"/>
          <w:iCs w:val="0"/>
          <w:caps w:val="0"/>
          <w:color w:val="212121"/>
          <w:spacing w:val="0"/>
          <w:sz w:val="26"/>
          <w:szCs w:val="26"/>
          <w:shd w:val="clear" w:fill="FFFFFF"/>
        </w:rPr>
        <w:t>Raizner A, Phatak UP, Baker K, Patel MG, Husain SZ, Pashankar DS. . J Pediatr. 2013;</w:t>
      </w:r>
      <w:r>
        <w:rPr>
          <w:rFonts w:hint="default" w:ascii="Cambria" w:hAnsi="Cambria" w:eastAsia="Cambria" w:cs="Cambria"/>
          <w:b/>
          <w:bCs/>
          <w:i w:val="0"/>
          <w:iCs w:val="0"/>
          <w:caps w:val="0"/>
          <w:color w:val="212121"/>
          <w:spacing w:val="0"/>
          <w:sz w:val="26"/>
          <w:szCs w:val="26"/>
          <w:shd w:val="clear" w:fill="FFFFFF"/>
        </w:rPr>
        <w:t>162</w:t>
      </w:r>
      <w:r>
        <w:rPr>
          <w:rFonts w:hint="default" w:ascii="Cambria" w:hAnsi="Cambria" w:eastAsia="Cambria" w:cs="Cambria"/>
          <w:i w:val="0"/>
          <w:iCs w:val="0"/>
          <w:caps w:val="0"/>
          <w:color w:val="212121"/>
          <w:spacing w:val="0"/>
          <w:sz w:val="26"/>
          <w:szCs w:val="26"/>
          <w:shd w:val="clear" w:fill="FFFFFF"/>
        </w:rPr>
        <w:t>:788–792</w:t>
      </w:r>
    </w:p>
    <w:p>
      <w:pPr>
        <w:numPr>
          <w:numId w:val="0"/>
        </w:numPr>
        <w:jc w:val="both"/>
        <w:rPr>
          <w:rFonts w:hint="default" w:ascii="Cambria" w:hAnsi="Cambria" w:eastAsia="Cambria" w:cs="Cambria"/>
          <w:i w:val="0"/>
          <w:iCs w:val="0"/>
          <w:caps w:val="0"/>
          <w:color w:val="212121"/>
          <w:spacing w:val="0"/>
          <w:sz w:val="26"/>
          <w:szCs w:val="26"/>
          <w:shd w:val="clear" w:fill="FFFFFF"/>
        </w:rPr>
      </w:pPr>
    </w:p>
    <w:p>
      <w:pPr>
        <w:numPr>
          <w:ilvl w:val="0"/>
          <w:numId w:val="1"/>
        </w:numPr>
        <w:jc w:val="both"/>
        <w:rPr>
          <w:rFonts w:hint="default" w:ascii="Cambria" w:hAnsi="Cambria" w:eastAsia="Cambria" w:cs="Cambria"/>
          <w:i w:val="0"/>
          <w:iCs w:val="0"/>
          <w:caps w:val="0"/>
          <w:color w:val="212121"/>
          <w:spacing w:val="0"/>
          <w:sz w:val="26"/>
          <w:szCs w:val="26"/>
          <w:shd w:val="clear" w:fill="FFFFFF"/>
        </w:rPr>
      </w:pPr>
      <w:r>
        <w:rPr>
          <w:rFonts w:hint="default" w:ascii="Times New Roman" w:hAnsi="Times New Roman" w:cs="Times New Roman"/>
          <w:color w:val="000000" w:themeColor="text1"/>
          <w:sz w:val="24"/>
          <w:szCs w:val="24"/>
          <w:highlight w:val="none"/>
          <w:shd w:val="clear" w:color="auto" w:fill="FFFFFF"/>
          <w14:textFill>
            <w14:solidFill>
              <w14:schemeClr w14:val="tx1"/>
            </w14:solidFill>
          </w14:textFill>
        </w:rPr>
        <w:t xml:space="preserve">The “Golden Hours “ of  Management In Acute Pancreatitis, Fisher,J.,M.,Gardner,T.,B.,(2012) </w:t>
      </w:r>
      <w:r>
        <w:rPr>
          <w:rFonts w:hint="default" w:ascii="Times New Roman" w:hAnsi="Times New Roman" w:cs="Times New Roman"/>
          <w:i/>
          <w:color w:val="000000" w:themeColor="text1"/>
          <w:sz w:val="24"/>
          <w:szCs w:val="24"/>
          <w:highlight w:val="none"/>
          <w:shd w:val="clear" w:color="auto" w:fill="FFFFFF"/>
          <w14:textFill>
            <w14:solidFill>
              <w14:schemeClr w14:val="tx1"/>
            </w14:solidFill>
          </w14:textFill>
        </w:rPr>
        <w:t>American Journal of Gastroenterology,</w:t>
      </w:r>
      <w:r>
        <w:rPr>
          <w:rFonts w:hint="default" w:ascii="Times New Roman" w:hAnsi="Times New Roman" w:cs="Times New Roman"/>
          <w:color w:val="000000" w:themeColor="text1"/>
          <w:sz w:val="24"/>
          <w:szCs w:val="24"/>
          <w:highlight w:val="none"/>
          <w:shd w:val="clear" w:color="auto" w:fill="FFFFFF"/>
          <w14:textFill>
            <w14:solidFill>
              <w14:schemeClr w14:val="tx1"/>
            </w14:solidFill>
          </w14:textFill>
        </w:rPr>
        <w:t xml:space="preserve"> 107, 1146-1150</w:t>
      </w:r>
    </w:p>
    <w:p>
      <w:pPr>
        <w:jc w:val="both"/>
        <w:rPr>
          <w:sz w:val="24"/>
          <w:szCs w:val="24"/>
        </w:rPr>
      </w:pPr>
    </w:p>
    <w:p>
      <w:pPr>
        <w:pStyle w:val="6"/>
        <w:keepNext w:val="0"/>
        <w:keepLines w:val="0"/>
        <w:widowControl/>
        <w:suppressLineNumbers w:val="0"/>
        <w:shd w:val="clear" w:fill="FFFFFF"/>
        <w:spacing w:before="145" w:beforeAutospacing="0" w:after="145" w:afterAutospacing="0"/>
        <w:ind w:right="0"/>
        <w:jc w:val="both"/>
        <w:rPr>
          <w:rFonts w:hint="default" w:ascii="Times New Roman" w:hAnsi="Times New Roman" w:eastAsia="SimSun" w:cs="Times New Roman"/>
          <w:b/>
          <w:bCs/>
          <w:i w:val="0"/>
          <w:iCs w:val="0"/>
          <w:caps w:val="0"/>
          <w:color w:val="000000"/>
          <w:spacing w:val="0"/>
          <w:sz w:val="24"/>
          <w:szCs w:val="24"/>
          <w:shd w:val="clear" w:fill="FFFFFF"/>
          <w:lang w:val="en-IN"/>
        </w:rPr>
      </w:pPr>
      <w:r>
        <w:rPr>
          <w:rFonts w:hint="default" w:cs="Times New Roman"/>
          <w:b/>
          <w:bCs/>
          <w:i w:val="0"/>
          <w:iCs w:val="0"/>
          <w:caps w:val="0"/>
          <w:color w:val="000000"/>
          <w:spacing w:val="0"/>
          <w:sz w:val="24"/>
          <w:szCs w:val="24"/>
          <w:shd w:val="clear" w:fill="FFFFFF"/>
          <w:lang w:val="en-IN"/>
        </w:rPr>
        <w:t>Organisation Logo</w:t>
      </w:r>
    </w:p>
    <w:p>
      <w:pPr>
        <w:jc w:val="both"/>
        <w:rPr>
          <w:sz w:val="24"/>
          <w:szCs w:val="24"/>
        </w:rPr>
      </w:pPr>
    </w:p>
    <w:p>
      <w:pPr>
        <w:ind w:firstLine="500" w:firstLineChars="250"/>
        <w:jc w:val="both"/>
        <w:rPr>
          <w:rFonts w:ascii="Times New Roman" w:hAnsi="Times New Roman" w:cs="Times New Roman"/>
          <w:color w:val="000000" w:themeColor="text1"/>
          <w:sz w:val="24"/>
          <w:szCs w:val="24"/>
          <w14:textFill>
            <w14:solidFill>
              <w14:schemeClr w14:val="tx1"/>
            </w14:solidFill>
          </w14:textFill>
        </w:rPr>
      </w:pPr>
      <w:r>
        <w:drawing>
          <wp:anchor distT="0" distB="0" distL="114300" distR="114300" simplePos="0" relativeHeight="251659264" behindDoc="0" locked="0" layoutInCell="1" allowOverlap="1">
            <wp:simplePos x="0" y="0"/>
            <wp:positionH relativeFrom="column">
              <wp:posOffset>333375</wp:posOffset>
            </wp:positionH>
            <wp:positionV relativeFrom="paragraph">
              <wp:posOffset>131445</wp:posOffset>
            </wp:positionV>
            <wp:extent cx="1872615" cy="1800225"/>
            <wp:effectExtent l="0" t="0" r="1333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stretch>
                      <a:fillRect/>
                    </a:stretch>
                  </pic:blipFill>
                  <pic:spPr>
                    <a:xfrm>
                      <a:off x="0" y="0"/>
                      <a:ext cx="1872615" cy="1800225"/>
                    </a:xfrm>
                    <a:prstGeom prst="rect">
                      <a:avLst/>
                    </a:prstGeom>
                    <a:noFill/>
                    <a:ln>
                      <a:noFill/>
                    </a:ln>
                  </pic:spPr>
                </pic:pic>
              </a:graphicData>
            </a:graphic>
          </wp:anchor>
        </w:drawing>
      </w:r>
    </w:p>
    <w:p>
      <w:pPr>
        <w:jc w:val="both"/>
        <w:rPr>
          <w:rFonts w:ascii="Times New Roman" w:hAnsi="Times New Roman" w:cs="Times New Roman"/>
          <w:color w:val="000000" w:themeColor="text1"/>
          <w:sz w:val="24"/>
          <w:szCs w:val="24"/>
          <w14:textFill>
            <w14:solidFill>
              <w14:schemeClr w14:val="tx1"/>
            </w14:solidFill>
          </w14:textFill>
        </w:rPr>
      </w:pPr>
    </w:p>
    <w:p>
      <w:pPr>
        <w:jc w:val="both"/>
        <w:rPr>
          <w:rFonts w:ascii="Times New Roman" w:hAnsi="Times New Roman" w:cs="Times New Roman"/>
          <w:color w:val="000000" w:themeColor="text1"/>
          <w:sz w:val="24"/>
          <w:szCs w:val="24"/>
          <w14:textFill>
            <w14:solidFill>
              <w14:schemeClr w14:val="tx1"/>
            </w14:solidFill>
          </w14:textFill>
        </w:rPr>
      </w:pPr>
    </w:p>
    <w:p>
      <w:pPr>
        <w:jc w:val="both"/>
        <w:rPr>
          <w:rFonts w:hint="default" w:ascii="Times New Roman" w:hAnsi="Times New Roman" w:cs="Times New Roman"/>
          <w:color w:val="000000" w:themeColor="text1"/>
          <w:sz w:val="24"/>
          <w:szCs w:val="24"/>
          <w:lang w:val="en-IN"/>
          <w14:textFill>
            <w14:solidFill>
              <w14:schemeClr w14:val="tx1"/>
            </w14:solidFill>
          </w14:textFill>
        </w:rPr>
      </w:pPr>
    </w:p>
    <w:p>
      <w:pPr>
        <w:ind w:firstLine="720" w:firstLineChars="300"/>
        <w:jc w:val="both"/>
        <w:rPr>
          <w:rFonts w:hint="default" w:ascii="Times New Roman" w:hAnsi="Times New Roman" w:cs="Times New Roman"/>
          <w:color w:val="000000" w:themeColor="text1"/>
          <w:sz w:val="24"/>
          <w:szCs w:val="24"/>
          <w:lang w:val="en-IN"/>
          <w14:textFill>
            <w14:solidFill>
              <w14:schemeClr w14:val="tx1"/>
            </w14:solidFill>
          </w14:textFill>
        </w:rPr>
      </w:pPr>
    </w:p>
    <w:p>
      <w:pPr>
        <w:jc w:val="both"/>
        <w:rPr>
          <w:rFonts w:hint="default"/>
          <w:color w:val="000000" w:themeColor="text1"/>
          <w:sz w:val="24"/>
          <w:szCs w:val="24"/>
          <w:lang w:val="en-IN"/>
          <w14:textFill>
            <w14:solidFill>
              <w14:schemeClr w14:val="tx1"/>
            </w14:solidFill>
          </w14:textFill>
        </w:rPr>
      </w:pPr>
    </w:p>
    <w:p>
      <w:pPr>
        <w:rPr>
          <w:rFonts w:hint="default"/>
          <w:sz w:val="24"/>
          <w:szCs w:val="24"/>
          <w:lang w:val="en-IN"/>
        </w:rPr>
      </w:pPr>
      <w:bookmarkStart w:id="0" w:name="_GoBack"/>
      <w:bookmarkEnd w:id="0"/>
    </w:p>
    <w:p>
      <w:pPr>
        <w:rPr>
          <w:rFonts w:hint="default"/>
          <w:sz w:val="24"/>
          <w:szCs w:val="24"/>
          <w:lang w:val="en-IN"/>
        </w:rPr>
      </w:pPr>
    </w:p>
    <w:p>
      <w:pPr>
        <w:rPr>
          <w:rFonts w:hint="default"/>
          <w:sz w:val="24"/>
          <w:szCs w:val="24"/>
          <w:lang w:val="en-I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Minion Pro Capt">
    <w:altName w:val="Times New Roman"/>
    <w:panose1 w:val="00000000000000000000"/>
    <w:charset w:val="00"/>
    <w:family w:val="roman"/>
    <w:pitch w:val="default"/>
    <w:sig w:usb0="00000000"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30200"/>
    <w:multiLevelType w:val="singleLevel"/>
    <w:tmpl w:val="CE03020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36D21"/>
    <w:rsid w:val="033879A6"/>
    <w:rsid w:val="0E3B2956"/>
    <w:rsid w:val="106260B7"/>
    <w:rsid w:val="1CA73D07"/>
    <w:rsid w:val="1F411D14"/>
    <w:rsid w:val="209B5197"/>
    <w:rsid w:val="2BEE2229"/>
    <w:rsid w:val="2CD74B5E"/>
    <w:rsid w:val="2E1C3387"/>
    <w:rsid w:val="313B43E4"/>
    <w:rsid w:val="44B176D1"/>
    <w:rsid w:val="502D5E41"/>
    <w:rsid w:val="5240491E"/>
    <w:rsid w:val="5BC0477C"/>
    <w:rsid w:val="5F0647FF"/>
    <w:rsid w:val="65C70092"/>
    <w:rsid w:val="68591ED1"/>
    <w:rsid w:val="68B72869"/>
    <w:rsid w:val="74736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Hyperlink"/>
    <w:basedOn w:val="2"/>
    <w:uiPriority w:val="0"/>
    <w:rPr>
      <w:color w:val="0000FF"/>
      <w:u w:val="single"/>
    </w:rPr>
  </w:style>
  <w:style w:type="paragraph" w:styleId="6">
    <w:name w:val="Normal (Web)"/>
    <w:basedOn w:val="1"/>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customStyle="1" w:styleId="7">
    <w:name w:val="c-article-references__links"/>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Office_11.2.0.11042_F1E327BC-269C-435d-A152-05C5408002CA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2022-03-28T09:14:00Z</dcterms:created>
  <dc:creator>Ramachandrab Muthiah</dc:creator>
  <cp:lastModifiedBy>PC</cp:lastModifiedBy>
  <dcterms:modified xsi:type="dcterms:W3CDTF">2022-03-30T03:52:22Z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EBB2996C7CFC48D59EF1928A1FE4AF23</vt:lpwstr>
  </property>
</Properties>
</file>