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2221" w14:textId="1C0812CE" w:rsidR="00E23735" w:rsidRPr="00572FC3" w:rsidRDefault="00E23735" w:rsidP="00572FC3">
      <w:pPr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Abstract;</w:t>
      </w:r>
    </w:p>
    <w:p w14:paraId="608500D0" w14:textId="77777777" w:rsidR="00E23735" w:rsidRPr="004B47A4" w:rsidRDefault="00E23735" w:rsidP="00E23735">
      <w:pPr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objective</w:t>
      </w:r>
      <w:r w:rsidRPr="004B47A4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4B47A4">
        <w:rPr>
          <w:rFonts w:asciiTheme="majorBidi" w:hAnsiTheme="majorBidi" w:cstheme="majorBidi"/>
          <w:sz w:val="24"/>
          <w:szCs w:val="24"/>
        </w:rPr>
        <w:t xml:space="preserve"> Th</w:t>
      </w:r>
      <w:r>
        <w:rPr>
          <w:rFonts w:asciiTheme="majorBidi" w:hAnsiTheme="majorBidi" w:cstheme="majorBidi"/>
          <w:sz w:val="24"/>
          <w:szCs w:val="24"/>
        </w:rPr>
        <w:t>is investigation aimed</w:t>
      </w:r>
      <w:r w:rsidRPr="004B47A4">
        <w:rPr>
          <w:rFonts w:asciiTheme="majorBidi" w:hAnsiTheme="majorBidi" w:cstheme="majorBidi"/>
          <w:sz w:val="24"/>
          <w:szCs w:val="24"/>
        </w:rPr>
        <w:t xml:space="preserve"> to determine clinically whether endocrowns are a reliable </w:t>
      </w:r>
      <w:r>
        <w:rPr>
          <w:rFonts w:asciiTheme="majorBidi" w:hAnsiTheme="majorBidi" w:cstheme="majorBidi"/>
          <w:sz w:val="24"/>
          <w:szCs w:val="24"/>
        </w:rPr>
        <w:t>replacement</w:t>
      </w:r>
      <w:r w:rsidRPr="004B47A4">
        <w:rPr>
          <w:rFonts w:asciiTheme="majorBidi" w:hAnsiTheme="majorBidi" w:cstheme="majorBidi"/>
          <w:sz w:val="24"/>
          <w:szCs w:val="24"/>
        </w:rPr>
        <w:t xml:space="preserve"> to post-retained restorations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47A4">
        <w:rPr>
          <w:rFonts w:asciiTheme="majorBidi" w:hAnsiTheme="majorBidi" w:cstheme="majorBidi"/>
          <w:sz w:val="24"/>
          <w:szCs w:val="24"/>
        </w:rPr>
        <w:t>and which materials are best adapted for fabricating endocrowns.</w:t>
      </w:r>
    </w:p>
    <w:p w14:paraId="697D0792" w14:textId="6D88A497" w:rsidR="00E23735" w:rsidRPr="00E23735" w:rsidRDefault="00E23735" w:rsidP="00E23735">
      <w:pPr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4B47A4">
        <w:rPr>
          <w:rFonts w:asciiTheme="majorBidi" w:hAnsiTheme="majorBidi" w:cstheme="majorBidi"/>
          <w:b/>
          <w:bCs/>
          <w:sz w:val="24"/>
          <w:szCs w:val="24"/>
        </w:rPr>
        <w:t>Material and methods</w:t>
      </w:r>
      <w:r w:rsidRPr="004B47A4">
        <w:rPr>
          <w:rFonts w:asciiTheme="majorBidi" w:hAnsiTheme="majorBidi" w:cstheme="majorBidi"/>
          <w:sz w:val="24"/>
          <w:szCs w:val="24"/>
        </w:rPr>
        <w:t>.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 w:rsidRPr="004B47A4">
        <w:rPr>
          <w:rFonts w:asciiTheme="majorBidi" w:hAnsiTheme="majorBidi" w:cstheme="majorBidi"/>
          <w:sz w:val="24"/>
          <w:szCs w:val="24"/>
        </w:rPr>
        <w:t xml:space="preserve">The endocrown </w:t>
      </w:r>
      <w:r>
        <w:rPr>
          <w:rFonts w:asciiTheme="majorBidi" w:hAnsiTheme="majorBidi" w:cstheme="majorBidi"/>
          <w:sz w:val="24"/>
          <w:szCs w:val="24"/>
        </w:rPr>
        <w:t>evaluation</w:t>
      </w:r>
      <w:r w:rsidRPr="004B47A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clinical study</w:t>
      </w:r>
      <w:r w:rsidRPr="004B47A4">
        <w:rPr>
          <w:rFonts w:asciiTheme="majorBidi" w:hAnsiTheme="majorBidi" w:cstheme="majorBidi"/>
          <w:sz w:val="24"/>
          <w:szCs w:val="24"/>
        </w:rPr>
        <w:t xml:space="preserve"> is an </w:t>
      </w:r>
      <w:r w:rsidR="00572FC3">
        <w:rPr>
          <w:rFonts w:asciiTheme="majorBidi" w:hAnsiTheme="majorBidi" w:cstheme="majorBidi"/>
          <w:sz w:val="24"/>
          <w:szCs w:val="24"/>
        </w:rPr>
        <w:t>blind labeled</w:t>
      </w:r>
      <w:r w:rsidRPr="004B47A4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comparable</w:t>
      </w:r>
      <w:r w:rsidRPr="004B47A4">
        <w:rPr>
          <w:rFonts w:asciiTheme="majorBidi" w:hAnsiTheme="majorBidi" w:cstheme="majorBidi"/>
          <w:sz w:val="24"/>
          <w:szCs w:val="24"/>
        </w:rPr>
        <w:t xml:space="preserve"> group</w:t>
      </w:r>
      <w:r>
        <w:rPr>
          <w:rFonts w:asciiTheme="majorBidi" w:hAnsiTheme="majorBidi" w:cstheme="majorBidi"/>
          <w:sz w:val="24"/>
          <w:szCs w:val="24"/>
        </w:rPr>
        <w:t>s</w:t>
      </w:r>
      <w:r w:rsidRPr="004B47A4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blinded</w:t>
      </w:r>
      <w:r w:rsidRPr="004B47A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organized</w:t>
      </w:r>
      <w:r w:rsidRPr="004B47A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study</w:t>
      </w:r>
      <w:r w:rsidRPr="004B47A4">
        <w:rPr>
          <w:rFonts w:asciiTheme="majorBidi" w:hAnsiTheme="majorBidi" w:cstheme="majorBidi"/>
          <w:sz w:val="24"/>
          <w:szCs w:val="24"/>
        </w:rPr>
        <w:t xml:space="preserve"> at </w:t>
      </w:r>
      <w:r w:rsidRPr="00645ED2">
        <w:rPr>
          <w:rFonts w:asciiTheme="majorBidi" w:hAnsiTheme="majorBidi" w:cstheme="majorBidi"/>
          <w:sz w:val="24"/>
          <w:szCs w:val="24"/>
        </w:rPr>
        <w:t>Assiut dental university hospitals.</w:t>
      </w:r>
      <w:r w:rsidRPr="004B47A4">
        <w:rPr>
          <w:rFonts w:asciiTheme="majorBidi" w:hAnsiTheme="majorBidi" w:cstheme="majorBidi"/>
          <w:sz w:val="24"/>
          <w:szCs w:val="24"/>
        </w:rPr>
        <w:t xml:space="preserve"> A</w:t>
      </w:r>
      <w:r w:rsidRPr="00822F3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sum</w:t>
      </w:r>
      <w:r w:rsidRPr="004B47A4">
        <w:rPr>
          <w:rFonts w:asciiTheme="majorBidi" w:hAnsiTheme="majorBidi" w:cstheme="majorBidi"/>
          <w:sz w:val="24"/>
          <w:szCs w:val="24"/>
        </w:rPr>
        <w:t xml:space="preserve"> of 40 </w:t>
      </w:r>
      <w:r>
        <w:rPr>
          <w:rFonts w:asciiTheme="majorBidi" w:hAnsiTheme="majorBidi" w:cstheme="majorBidi"/>
          <w:sz w:val="24"/>
          <w:szCs w:val="24"/>
        </w:rPr>
        <w:t>participant</w:t>
      </w:r>
      <w:r w:rsidRPr="004B47A4">
        <w:rPr>
          <w:rFonts w:asciiTheme="majorBidi" w:hAnsiTheme="majorBidi" w:cstheme="majorBidi"/>
          <w:sz w:val="24"/>
          <w:szCs w:val="24"/>
        </w:rPr>
        <w:t xml:space="preserve"> will be </w:t>
      </w:r>
      <w:r>
        <w:rPr>
          <w:rFonts w:asciiTheme="majorBidi" w:hAnsiTheme="majorBidi" w:cstheme="majorBidi"/>
          <w:sz w:val="24"/>
          <w:szCs w:val="24"/>
        </w:rPr>
        <w:t>involved</w:t>
      </w:r>
      <w:r w:rsidRPr="004B47A4">
        <w:rPr>
          <w:rFonts w:asciiTheme="majorBidi" w:hAnsiTheme="majorBidi" w:cstheme="majorBidi"/>
          <w:sz w:val="24"/>
          <w:szCs w:val="24"/>
        </w:rPr>
        <w:t xml:space="preserve"> in this </w:t>
      </w:r>
      <w:r>
        <w:rPr>
          <w:rFonts w:asciiTheme="majorBidi" w:hAnsiTheme="majorBidi" w:cstheme="majorBidi"/>
          <w:sz w:val="24"/>
          <w:szCs w:val="24"/>
        </w:rPr>
        <w:t>study receiving</w:t>
      </w:r>
      <w:r w:rsidRPr="004B47A4">
        <w:rPr>
          <w:rFonts w:asciiTheme="majorBidi" w:hAnsiTheme="majorBidi" w:cstheme="majorBidi"/>
          <w:sz w:val="24"/>
          <w:szCs w:val="24"/>
        </w:rPr>
        <w:t xml:space="preserve"> of</w:t>
      </w:r>
      <w:r w:rsidRPr="002A7B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usual</w:t>
      </w:r>
      <w:r w:rsidRPr="004B47A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teeth endodontics management</w:t>
      </w:r>
      <w:r w:rsidRPr="004B47A4">
        <w:rPr>
          <w:rFonts w:asciiTheme="majorBidi" w:hAnsiTheme="majorBidi" w:cstheme="majorBidi"/>
          <w:sz w:val="24"/>
          <w:szCs w:val="24"/>
        </w:rPr>
        <w:t xml:space="preserve">, and </w:t>
      </w:r>
      <w:r>
        <w:rPr>
          <w:rFonts w:asciiTheme="majorBidi" w:hAnsiTheme="majorBidi" w:cstheme="majorBidi"/>
          <w:sz w:val="24"/>
          <w:szCs w:val="24"/>
        </w:rPr>
        <w:t>indicated</w:t>
      </w:r>
      <w:r w:rsidRPr="004B47A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</w:t>
      </w:r>
      <w:r w:rsidRPr="004B47A4">
        <w:rPr>
          <w:rFonts w:asciiTheme="majorBidi" w:hAnsiTheme="majorBidi" w:cstheme="majorBidi"/>
          <w:sz w:val="24"/>
          <w:szCs w:val="24"/>
        </w:rPr>
        <w:t xml:space="preserve"> endocrown restoration</w:t>
      </w:r>
      <w:r>
        <w:rPr>
          <w:rFonts w:asciiTheme="majorBidi" w:hAnsiTheme="majorBidi" w:cstheme="majorBidi"/>
          <w:sz w:val="24"/>
          <w:szCs w:val="24"/>
        </w:rPr>
        <w:t xml:space="preserve">s, </w:t>
      </w:r>
      <w:r w:rsidRPr="004B47A4">
        <w:rPr>
          <w:rFonts w:asciiTheme="majorBidi" w:hAnsiTheme="majorBidi" w:cstheme="majorBidi"/>
          <w:sz w:val="24"/>
          <w:szCs w:val="24"/>
        </w:rPr>
        <w:t>and will be</w:t>
      </w:r>
      <w:r w:rsidRPr="002A7B6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allocated</w:t>
      </w:r>
      <w:r w:rsidRPr="004B47A4">
        <w:rPr>
          <w:rFonts w:asciiTheme="majorBidi" w:hAnsiTheme="majorBidi" w:cstheme="majorBidi"/>
          <w:sz w:val="24"/>
          <w:szCs w:val="24"/>
        </w:rPr>
        <w:t xml:space="preserve"> into three </w:t>
      </w:r>
      <w:r>
        <w:rPr>
          <w:rFonts w:asciiTheme="majorBidi" w:hAnsiTheme="majorBidi" w:cstheme="majorBidi"/>
          <w:sz w:val="24"/>
          <w:szCs w:val="24"/>
        </w:rPr>
        <w:t>categories</w:t>
      </w:r>
      <w:r w:rsidRPr="004B47A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 accordance with</w:t>
      </w:r>
      <w:r w:rsidRPr="004B47A4">
        <w:rPr>
          <w:rFonts w:asciiTheme="majorBidi" w:hAnsiTheme="majorBidi" w:cstheme="majorBidi"/>
          <w:sz w:val="24"/>
          <w:szCs w:val="24"/>
        </w:rPr>
        <w:t xml:space="preserve"> the material</w:t>
      </w:r>
      <w:r>
        <w:rPr>
          <w:rFonts w:asciiTheme="majorBidi" w:hAnsiTheme="majorBidi" w:cstheme="majorBidi"/>
          <w:sz w:val="24"/>
          <w:szCs w:val="24"/>
        </w:rPr>
        <w:t xml:space="preserve"> kind</w:t>
      </w:r>
      <w:r w:rsidRPr="004B47A4">
        <w:rPr>
          <w:rFonts w:asciiTheme="majorBidi" w:hAnsiTheme="majorBidi" w:cstheme="majorBidi"/>
          <w:sz w:val="24"/>
          <w:szCs w:val="24"/>
        </w:rPr>
        <w:t xml:space="preserve"> </w:t>
      </w:r>
      <w:r w:rsidRPr="004B47A4">
        <w:rPr>
          <w:rFonts w:asciiTheme="majorBidi" w:hAnsiTheme="majorBidi" w:cstheme="majorBidi"/>
          <w:b/>
          <w:bCs/>
          <w:sz w:val="24"/>
          <w:szCs w:val="24"/>
        </w:rPr>
        <w:t xml:space="preserve">(lithium disilicate, </w:t>
      </w:r>
      <w:r>
        <w:rPr>
          <w:rFonts w:asciiTheme="majorBidi" w:hAnsiTheme="majorBidi" w:cstheme="majorBidi"/>
          <w:b/>
          <w:bCs/>
          <w:sz w:val="24"/>
          <w:szCs w:val="24"/>
        </w:rPr>
        <w:t>monolithic</w:t>
      </w:r>
      <w:r w:rsidRPr="004B47A4">
        <w:rPr>
          <w:rFonts w:asciiTheme="majorBidi" w:hAnsiTheme="majorBidi" w:cstheme="majorBidi"/>
          <w:b/>
          <w:bCs/>
          <w:sz w:val="24"/>
          <w:szCs w:val="24"/>
        </w:rPr>
        <w:t xml:space="preserve"> zirconia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4B47A4">
        <w:rPr>
          <w:rFonts w:asciiTheme="majorBidi" w:hAnsiTheme="majorBidi" w:cstheme="majorBidi"/>
          <w:b/>
          <w:bCs/>
          <w:sz w:val="24"/>
          <w:szCs w:val="24"/>
        </w:rPr>
        <w:t xml:space="preserve"> and modified PEEK material).</w:t>
      </w:r>
      <w:r w:rsidRPr="004B47A4">
        <w:rPr>
          <w:rFonts w:asciiTheme="majorBidi" w:hAnsiTheme="majorBidi" w:cstheme="majorBidi"/>
          <w:sz w:val="24"/>
          <w:szCs w:val="24"/>
        </w:rPr>
        <w:t xml:space="preserve"> Clinical </w:t>
      </w:r>
      <w:r>
        <w:rPr>
          <w:rFonts w:asciiTheme="majorBidi" w:hAnsiTheme="majorBidi" w:cstheme="majorBidi"/>
          <w:sz w:val="24"/>
          <w:szCs w:val="24"/>
        </w:rPr>
        <w:t>assessments by</w:t>
      </w:r>
      <w:r w:rsidRPr="004B47A4">
        <w:rPr>
          <w:rFonts w:asciiTheme="majorBidi" w:hAnsiTheme="majorBidi" w:cstheme="majorBidi"/>
          <w:sz w:val="24"/>
          <w:szCs w:val="24"/>
        </w:rPr>
        <w:t xml:space="preserve"> modified US Public Health Service criteria by two </w:t>
      </w:r>
      <w:r>
        <w:rPr>
          <w:rFonts w:asciiTheme="majorBidi" w:hAnsiTheme="majorBidi" w:cstheme="majorBidi"/>
          <w:sz w:val="24"/>
          <w:szCs w:val="24"/>
        </w:rPr>
        <w:t>separate</w:t>
      </w:r>
      <w:r w:rsidRPr="00DC78A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assessors</w:t>
      </w:r>
      <w:r w:rsidRPr="004B47A4">
        <w:rPr>
          <w:rFonts w:asciiTheme="majorBidi" w:hAnsiTheme="majorBidi" w:cstheme="majorBidi"/>
          <w:sz w:val="24"/>
          <w:szCs w:val="24"/>
        </w:rPr>
        <w:t>. The</w:t>
      </w:r>
      <w:r w:rsidRPr="00DC78A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result</w:t>
      </w:r>
      <w:r w:rsidRPr="004B47A4">
        <w:rPr>
          <w:rFonts w:asciiTheme="majorBidi" w:hAnsiTheme="majorBidi" w:cstheme="majorBidi"/>
          <w:sz w:val="24"/>
          <w:szCs w:val="24"/>
        </w:rPr>
        <w:t xml:space="preserve"> will be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including the following criteria:</w:t>
      </w:r>
      <w:r w:rsidRPr="004B47A4">
        <w:rPr>
          <w:rFonts w:asciiTheme="majorBidi" w:hAnsiTheme="majorBidi" w:cstheme="majorBidi"/>
          <w:sz w:val="24"/>
          <w:szCs w:val="24"/>
        </w:rPr>
        <w:t xml:space="preserve"> Recurrent caries, Proximal contact, </w:t>
      </w:r>
      <w:r>
        <w:rPr>
          <w:rFonts w:asciiTheme="majorBidi" w:hAnsiTheme="majorBidi" w:cstheme="majorBidi"/>
          <w:sz w:val="24"/>
          <w:szCs w:val="24"/>
        </w:rPr>
        <w:t>occlusal surface contact,</w:t>
      </w:r>
      <w:r w:rsidRPr="004B47A4">
        <w:rPr>
          <w:rFonts w:asciiTheme="majorBidi" w:hAnsiTheme="majorBidi" w:cstheme="majorBidi"/>
          <w:sz w:val="24"/>
          <w:szCs w:val="24"/>
        </w:rPr>
        <w:t xml:space="preserve"> Tooth integrity</w:t>
      </w:r>
      <w:r>
        <w:rPr>
          <w:rFonts w:asciiTheme="majorBidi" w:hAnsiTheme="majorBidi" w:cstheme="majorBidi"/>
          <w:sz w:val="24"/>
          <w:szCs w:val="24"/>
        </w:rPr>
        <w:t>,</w:t>
      </w:r>
      <w:r w:rsidRPr="004B47A4">
        <w:rPr>
          <w:rFonts w:asciiTheme="majorBidi" w:hAnsiTheme="majorBidi" w:cstheme="majorBidi"/>
          <w:sz w:val="24"/>
          <w:szCs w:val="24"/>
        </w:rPr>
        <w:t xml:space="preserve"> and Patient satisfaction. </w:t>
      </w:r>
      <w:r w:rsidRPr="00E23735">
        <w:rPr>
          <w:rFonts w:asciiTheme="majorBidi" w:hAnsiTheme="majorBidi" w:cstheme="majorBidi"/>
          <w:b/>
          <w:bCs/>
          <w:sz w:val="24"/>
          <w:szCs w:val="24"/>
        </w:rPr>
        <w:t>All obtained records analyzed by an independent statistician.</w:t>
      </w:r>
    </w:p>
    <w:p w14:paraId="7C986E56" w14:textId="77777777" w:rsidR="00E23735" w:rsidRPr="004B47A4" w:rsidRDefault="00E23735" w:rsidP="00E23735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color w:val="131413"/>
          <w:sz w:val="24"/>
          <w:szCs w:val="24"/>
        </w:rPr>
      </w:pPr>
      <w:r w:rsidRPr="004B47A4">
        <w:rPr>
          <w:rFonts w:asciiTheme="majorBidi" w:hAnsiTheme="majorBidi" w:cstheme="majorBidi"/>
          <w:b/>
          <w:bCs/>
          <w:color w:val="131413"/>
          <w:sz w:val="24"/>
          <w:szCs w:val="24"/>
        </w:rPr>
        <w:t>Results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>: After an</w:t>
      </w:r>
      <w:r w:rsidRPr="00DC78A3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examination</w:t>
      </w:r>
      <w:r w:rsidRPr="00DC78A3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interval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of 3 years, </w:t>
      </w:r>
      <w:r>
        <w:rPr>
          <w:rFonts w:asciiTheme="majorBidi" w:hAnsiTheme="majorBidi" w:cstheme="majorBidi"/>
          <w:color w:val="131413"/>
          <w:sz w:val="24"/>
          <w:szCs w:val="24"/>
        </w:rPr>
        <w:t>success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rates were 94.87 %. one restoration had to be </w:t>
      </w:r>
      <w:r>
        <w:rPr>
          <w:rFonts w:asciiTheme="majorBidi" w:hAnsiTheme="majorBidi" w:cstheme="majorBidi"/>
          <w:color w:val="131413"/>
          <w:sz w:val="24"/>
          <w:szCs w:val="24"/>
        </w:rPr>
        <w:t>changed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due to clinically </w:t>
      </w:r>
      <w:r>
        <w:rPr>
          <w:rFonts w:asciiTheme="majorBidi" w:hAnsiTheme="majorBidi" w:cstheme="majorBidi"/>
          <w:color w:val="131413"/>
          <w:sz w:val="24"/>
          <w:szCs w:val="24"/>
        </w:rPr>
        <w:t>undesirable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fractures and another after debonding rebonding again. The 3-year survival rate was (94.87%).</w:t>
      </w:r>
      <w:r>
        <w:rPr>
          <w:rFonts w:asciiTheme="majorBidi" w:hAnsiTheme="majorBidi" w:cstheme="majorBidi"/>
          <w:color w:val="131413"/>
          <w:sz w:val="24"/>
          <w:szCs w:val="24"/>
        </w:rPr>
        <w:t xml:space="preserve"> there was a statistically significant differences for all variables along the 36 months follow up periods starting from 18 m to 36m. there no statically significant differences between monolithic zirconia and lithium disilicate but significantly different from modified PEEK materials for all criteria evaluated</w:t>
      </w:r>
      <w:r w:rsidRPr="004B47A4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2AC94F48" w14:textId="70E7690F" w:rsidR="00EB6E24" w:rsidRDefault="00E23735" w:rsidP="00E23735">
      <w:pPr>
        <w:rPr>
          <w:rFonts w:asciiTheme="majorBidi" w:hAnsiTheme="majorBidi" w:cstheme="majorBidi"/>
          <w:color w:val="131413"/>
          <w:sz w:val="24"/>
          <w:szCs w:val="24"/>
        </w:rPr>
      </w:pPr>
      <w:r w:rsidRPr="004B47A4">
        <w:rPr>
          <w:rFonts w:asciiTheme="majorBidi" w:hAnsiTheme="majorBidi" w:cstheme="majorBidi"/>
          <w:b/>
          <w:bCs/>
          <w:color w:val="131413"/>
          <w:sz w:val="24"/>
          <w:szCs w:val="24"/>
        </w:rPr>
        <w:t>Conclusions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>:</w:t>
      </w:r>
      <w:r>
        <w:rPr>
          <w:rFonts w:asciiTheme="majorBidi" w:hAnsiTheme="majorBidi" w:cstheme="majorBidi"/>
          <w:color w:val="131413"/>
          <w:sz w:val="24"/>
          <w:szCs w:val="24"/>
        </w:rPr>
        <w:t xml:space="preserve"> bonded 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>endocrown</w:t>
      </w:r>
      <w:r>
        <w:rPr>
          <w:rFonts w:asciiTheme="majorBidi" w:hAnsiTheme="majorBidi" w:cstheme="majorBidi"/>
          <w:color w:val="131413"/>
          <w:sz w:val="24"/>
          <w:szCs w:val="24"/>
        </w:rPr>
        <w:t>s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protocol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exhibited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a</w:t>
      </w:r>
      <w:r w:rsidRPr="00C56A60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promising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clinical </w:t>
      </w:r>
      <w:r>
        <w:rPr>
          <w:rFonts w:asciiTheme="majorBidi" w:hAnsiTheme="majorBidi" w:cstheme="majorBidi"/>
          <w:color w:val="131413"/>
          <w:sz w:val="24"/>
          <w:szCs w:val="24"/>
        </w:rPr>
        <w:t>functioning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around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an </w:t>
      </w:r>
      <w:r>
        <w:rPr>
          <w:rFonts w:asciiTheme="majorBidi" w:hAnsiTheme="majorBidi" w:cstheme="majorBidi"/>
          <w:color w:val="131413"/>
          <w:sz w:val="24"/>
          <w:szCs w:val="24"/>
        </w:rPr>
        <w:t>examination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time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of 3</w:t>
      </w:r>
      <w:r>
        <w:rPr>
          <w:rFonts w:asciiTheme="majorBidi" w:hAnsiTheme="majorBidi" w:cstheme="majorBidi"/>
          <w:color w:val="131413"/>
          <w:sz w:val="24"/>
          <w:szCs w:val="24"/>
        </w:rPr>
        <w:t xml:space="preserve"> years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(94.87%). Clinical relevance of translucent zirconia, lithium disilicate ceramic</w:t>
      </w:r>
      <w:r>
        <w:rPr>
          <w:rFonts w:asciiTheme="majorBidi" w:hAnsiTheme="majorBidi" w:cstheme="majorBidi"/>
          <w:color w:val="131413"/>
          <w:sz w:val="24"/>
          <w:szCs w:val="24"/>
        </w:rPr>
        <w:t>,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and</w:t>
      </w:r>
      <w:r>
        <w:rPr>
          <w:rFonts w:asciiTheme="majorBidi" w:hAnsiTheme="majorBidi" w:cstheme="majorBidi"/>
          <w:color w:val="131413"/>
          <w:sz w:val="24"/>
          <w:szCs w:val="24"/>
        </w:rPr>
        <w:t xml:space="preserve"> PEEK endocrowns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are an </w:t>
      </w:r>
      <w:r>
        <w:rPr>
          <w:rFonts w:asciiTheme="majorBidi" w:hAnsiTheme="majorBidi" w:cstheme="majorBidi"/>
          <w:color w:val="131413"/>
          <w:sz w:val="24"/>
          <w:szCs w:val="24"/>
        </w:rPr>
        <w:t>appropriate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restorative</w:t>
      </w:r>
      <w:r w:rsidRPr="00FF53F3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therapy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31413"/>
          <w:sz w:val="24"/>
          <w:szCs w:val="24"/>
        </w:rPr>
        <w:t>choice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for </w:t>
      </w:r>
      <w:r>
        <w:rPr>
          <w:rFonts w:asciiTheme="majorBidi" w:hAnsiTheme="majorBidi" w:cstheme="majorBidi"/>
          <w:color w:val="131413"/>
          <w:sz w:val="24"/>
          <w:szCs w:val="24"/>
        </w:rPr>
        <w:t>molar</w:t>
      </w:r>
      <w:r w:rsidRPr="004B47A4">
        <w:rPr>
          <w:rFonts w:asciiTheme="majorBidi" w:hAnsiTheme="majorBidi" w:cstheme="majorBidi"/>
          <w:color w:val="131413"/>
          <w:sz w:val="24"/>
          <w:szCs w:val="24"/>
        </w:rPr>
        <w:t xml:space="preserve"> endocrown</w:t>
      </w:r>
    </w:p>
    <w:p w14:paraId="72507EBA" w14:textId="77777777" w:rsidR="00E23735" w:rsidRPr="004B47A4" w:rsidRDefault="00E23735" w:rsidP="00E23735">
      <w:pPr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Keywords; clinical trials, endocrown, monolithic zirconia, lithium disilicate, PEEK materials, CAD-CAM</w:t>
      </w:r>
    </w:p>
    <w:p w14:paraId="78B64FF8" w14:textId="77777777" w:rsidR="00E23735" w:rsidRPr="00E23735" w:rsidRDefault="00E23735" w:rsidP="00E23735"/>
    <w:sectPr w:rsidR="00E23735" w:rsidRPr="00E23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7A"/>
    <w:rsid w:val="00572FC3"/>
    <w:rsid w:val="00E23735"/>
    <w:rsid w:val="00EB6E24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0E14"/>
  <w15:chartTrackingRefBased/>
  <w15:docId w15:val="{B4083817-3A2B-44CD-B3C8-6A0A9637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Raafat Abdelrahman</dc:creator>
  <cp:keywords/>
  <dc:description/>
  <cp:lastModifiedBy>Dr. Raafat Abdelrahman</cp:lastModifiedBy>
  <cp:revision>3</cp:revision>
  <dcterms:created xsi:type="dcterms:W3CDTF">2021-04-23T20:39:00Z</dcterms:created>
  <dcterms:modified xsi:type="dcterms:W3CDTF">2021-04-23T20:51:00Z</dcterms:modified>
</cp:coreProperties>
</file>